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024" w:rsidRDefault="00801024">
      <w:pPr>
        <w:spacing w:line="288" w:lineRule="auto"/>
        <w:rPr>
          <w:color w:val="auto"/>
        </w:rPr>
      </w:pPr>
    </w:p>
    <w:p w:rsidR="00801024" w:rsidRDefault="00801024">
      <w:pPr>
        <w:spacing w:line="288" w:lineRule="auto"/>
        <w:rPr>
          <w:color w:val="auto"/>
        </w:rPr>
      </w:pPr>
    </w:p>
    <w:p w:rsidR="00801024" w:rsidRDefault="00801024">
      <w:pPr>
        <w:spacing w:line="288" w:lineRule="auto"/>
        <w:rPr>
          <w:color w:val="auto"/>
        </w:rPr>
      </w:pPr>
    </w:p>
    <w:p w:rsidR="00801024" w:rsidRDefault="00801024">
      <w:pPr>
        <w:spacing w:line="288" w:lineRule="auto"/>
        <w:rPr>
          <w:color w:val="auto"/>
        </w:rPr>
      </w:pPr>
    </w:p>
    <w:p w:rsidR="00801024" w:rsidRDefault="008B6459">
      <w:pPr>
        <w:spacing w:line="860" w:lineRule="exact"/>
        <w:ind w:firstLine="513"/>
        <w:textAlignment w:val="center"/>
        <w:rPr>
          <w:color w:val="auto"/>
          <w:sz w:val="20"/>
        </w:rPr>
      </w:pPr>
      <w:r>
        <w:rPr>
          <w:noProof/>
          <w:color w:val="auto"/>
        </w:rPr>
        <w:drawing>
          <wp:inline distT="0" distB="0" distL="0" distR="0">
            <wp:extent cx="4482465" cy="546100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83030" cy="546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024" w:rsidRDefault="00801024">
      <w:pPr>
        <w:spacing w:line="258" w:lineRule="auto"/>
        <w:rPr>
          <w:color w:val="auto"/>
        </w:rPr>
      </w:pPr>
    </w:p>
    <w:p w:rsidR="00801024" w:rsidRDefault="00801024">
      <w:pPr>
        <w:spacing w:line="258" w:lineRule="auto"/>
        <w:rPr>
          <w:color w:val="auto"/>
        </w:rPr>
      </w:pPr>
    </w:p>
    <w:p w:rsidR="00801024" w:rsidRDefault="008B6459">
      <w:pPr>
        <w:spacing w:line="1270" w:lineRule="exact"/>
        <w:ind w:firstLine="2833"/>
        <w:textAlignment w:val="center"/>
        <w:rPr>
          <w:color w:val="auto"/>
          <w:sz w:val="20"/>
        </w:rPr>
      </w:pPr>
      <w:r>
        <w:rPr>
          <w:noProof/>
          <w:color w:val="auto"/>
        </w:rPr>
        <w:drawing>
          <wp:inline distT="0" distB="0" distL="0" distR="0">
            <wp:extent cx="1416050" cy="80581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16068" cy="806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024" w:rsidRDefault="00801024">
      <w:pPr>
        <w:spacing w:line="352" w:lineRule="auto"/>
        <w:rPr>
          <w:color w:val="auto"/>
        </w:rPr>
      </w:pPr>
    </w:p>
    <w:p w:rsidR="00801024" w:rsidRDefault="008B6459">
      <w:pPr>
        <w:spacing w:before="84" w:line="222" w:lineRule="auto"/>
        <w:ind w:firstLine="2613"/>
        <w:rPr>
          <w:rFonts w:ascii="仿宋" w:eastAsia="仿宋" w:hAnsi="仿宋" w:cs="仿宋"/>
          <w:color w:val="auto"/>
          <w:sz w:val="26"/>
          <w:szCs w:val="26"/>
        </w:rPr>
      </w:pPr>
      <w:r>
        <w:rPr>
          <w:rFonts w:ascii="仿宋" w:eastAsia="仿宋" w:hAnsi="仿宋" w:cs="仿宋"/>
          <w:color w:val="auto"/>
          <w:spacing w:val="4"/>
          <w:sz w:val="26"/>
          <w:szCs w:val="26"/>
        </w:rPr>
        <w:t>202</w:t>
      </w:r>
      <w:r>
        <w:rPr>
          <w:rFonts w:ascii="仿宋" w:eastAsia="仿宋" w:hAnsi="仿宋" w:cs="仿宋" w:hint="eastAsia"/>
          <w:color w:val="auto"/>
          <w:spacing w:val="4"/>
          <w:sz w:val="26"/>
          <w:szCs w:val="26"/>
        </w:rPr>
        <w:t>6</w:t>
      </w:r>
      <w:r>
        <w:rPr>
          <w:rFonts w:ascii="仿宋" w:eastAsia="仿宋" w:hAnsi="仿宋" w:cs="仿宋"/>
          <w:color w:val="auto"/>
          <w:spacing w:val="4"/>
          <w:sz w:val="26"/>
          <w:szCs w:val="26"/>
        </w:rPr>
        <w:t>年第</w:t>
      </w:r>
      <w:r>
        <w:rPr>
          <w:rFonts w:ascii="仿宋" w:eastAsia="仿宋" w:hAnsi="仿宋" w:cs="仿宋" w:hint="eastAsia"/>
          <w:color w:val="auto"/>
          <w:spacing w:val="4"/>
          <w:sz w:val="26"/>
          <w:szCs w:val="26"/>
        </w:rPr>
        <w:t>11</w:t>
      </w:r>
      <w:r>
        <w:rPr>
          <w:rFonts w:ascii="仿宋" w:eastAsia="仿宋" w:hAnsi="仿宋" w:cs="仿宋"/>
          <w:color w:val="auto"/>
          <w:spacing w:val="4"/>
          <w:sz w:val="26"/>
          <w:szCs w:val="26"/>
        </w:rPr>
        <w:t>期</w:t>
      </w:r>
      <w:r>
        <w:rPr>
          <w:rFonts w:ascii="仿宋" w:eastAsia="仿宋" w:hAnsi="仿宋" w:cs="仿宋"/>
          <w:color w:val="auto"/>
          <w:spacing w:val="4"/>
          <w:sz w:val="26"/>
          <w:szCs w:val="26"/>
        </w:rPr>
        <w:t>(</w:t>
      </w:r>
      <w:r>
        <w:rPr>
          <w:rFonts w:ascii="仿宋" w:eastAsia="仿宋" w:hAnsi="仿宋" w:cs="仿宋"/>
          <w:color w:val="auto"/>
          <w:spacing w:val="4"/>
          <w:sz w:val="26"/>
          <w:szCs w:val="26"/>
        </w:rPr>
        <w:t>总第</w:t>
      </w:r>
      <w:r>
        <w:rPr>
          <w:rFonts w:ascii="仿宋" w:eastAsia="仿宋" w:hAnsi="仿宋" w:cs="仿宋" w:hint="eastAsia"/>
          <w:color w:val="auto"/>
          <w:spacing w:val="4"/>
          <w:sz w:val="26"/>
          <w:szCs w:val="26"/>
        </w:rPr>
        <w:t>120</w:t>
      </w:r>
      <w:r>
        <w:rPr>
          <w:rFonts w:ascii="仿宋" w:eastAsia="仿宋" w:hAnsi="仿宋" w:cs="仿宋"/>
          <w:color w:val="auto"/>
          <w:spacing w:val="4"/>
          <w:sz w:val="26"/>
          <w:szCs w:val="26"/>
        </w:rPr>
        <w:t>期</w:t>
      </w:r>
      <w:r>
        <w:rPr>
          <w:rFonts w:ascii="仿宋" w:eastAsia="仿宋" w:hAnsi="仿宋" w:cs="仿宋"/>
          <w:color w:val="auto"/>
          <w:spacing w:val="4"/>
          <w:sz w:val="26"/>
          <w:szCs w:val="26"/>
        </w:rPr>
        <w:t>)</w:t>
      </w:r>
    </w:p>
    <w:p w:rsidR="00801024" w:rsidRDefault="008B6459">
      <w:pPr>
        <w:spacing w:before="114" w:line="230" w:lineRule="auto"/>
        <w:ind w:firstLine="363"/>
        <w:rPr>
          <w:rFonts w:ascii="黑体" w:eastAsia="黑体" w:hAnsi="黑体" w:cs="黑体"/>
          <w:color w:val="auto"/>
          <w:sz w:val="26"/>
          <w:szCs w:val="26"/>
        </w:rPr>
      </w:pPr>
      <w:r>
        <w:rPr>
          <w:rFonts w:ascii="仿宋" w:eastAsia="仿宋" w:hAnsi="仿宋" w:cs="仿宋"/>
          <w:color w:val="auto"/>
          <w:spacing w:val="8"/>
          <w:sz w:val="26"/>
          <w:szCs w:val="26"/>
        </w:rPr>
        <w:t>贺州市老科技工作者协会办公室编</w:t>
      </w:r>
      <w:r>
        <w:rPr>
          <w:rFonts w:ascii="黑体" w:eastAsia="黑体" w:hAnsi="黑体" w:cs="黑体"/>
          <w:color w:val="auto"/>
          <w:spacing w:val="8"/>
          <w:sz w:val="26"/>
          <w:szCs w:val="26"/>
        </w:rPr>
        <w:t>202</w:t>
      </w:r>
      <w:r>
        <w:rPr>
          <w:rFonts w:ascii="黑体" w:eastAsia="黑体" w:hAnsi="黑体" w:cs="黑体" w:hint="eastAsia"/>
          <w:color w:val="auto"/>
          <w:spacing w:val="8"/>
          <w:sz w:val="26"/>
          <w:szCs w:val="26"/>
        </w:rPr>
        <w:t>6</w:t>
      </w:r>
      <w:r>
        <w:rPr>
          <w:rFonts w:ascii="黑体" w:eastAsia="黑体" w:hAnsi="黑体" w:cs="黑体"/>
          <w:color w:val="auto"/>
          <w:spacing w:val="8"/>
          <w:sz w:val="26"/>
          <w:szCs w:val="26"/>
        </w:rPr>
        <w:t>年</w:t>
      </w:r>
      <w:r>
        <w:rPr>
          <w:rFonts w:ascii="黑体" w:eastAsia="黑体" w:hAnsi="黑体" w:cs="黑体" w:hint="eastAsia"/>
          <w:color w:val="auto"/>
          <w:spacing w:val="8"/>
          <w:sz w:val="26"/>
          <w:szCs w:val="26"/>
        </w:rPr>
        <w:t>6</w:t>
      </w:r>
      <w:r>
        <w:rPr>
          <w:rFonts w:ascii="黑体" w:eastAsia="黑体" w:hAnsi="黑体" w:cs="黑体" w:hint="eastAsia"/>
          <w:color w:val="auto"/>
          <w:spacing w:val="8"/>
          <w:sz w:val="26"/>
          <w:szCs w:val="26"/>
        </w:rPr>
        <w:t>月</w:t>
      </w:r>
      <w:r>
        <w:rPr>
          <w:rFonts w:ascii="黑体" w:eastAsia="黑体" w:hAnsi="黑体" w:cs="黑体" w:hint="eastAsia"/>
          <w:color w:val="auto"/>
          <w:spacing w:val="8"/>
          <w:sz w:val="26"/>
          <w:szCs w:val="26"/>
        </w:rPr>
        <w:t>29</w:t>
      </w:r>
      <w:r>
        <w:rPr>
          <w:rFonts w:ascii="黑体" w:eastAsia="黑体" w:hAnsi="黑体" w:cs="黑体"/>
          <w:color w:val="auto"/>
          <w:spacing w:val="8"/>
          <w:sz w:val="26"/>
          <w:szCs w:val="26"/>
        </w:rPr>
        <w:t>日</w:t>
      </w:r>
    </w:p>
    <w:p w:rsidR="00801024" w:rsidRDefault="008B6459">
      <w:pPr>
        <w:spacing w:before="30" w:line="80" w:lineRule="exact"/>
        <w:ind w:firstLine="163"/>
        <w:textAlignment w:val="center"/>
        <w:rPr>
          <w:color w:val="auto"/>
          <w:sz w:val="20"/>
        </w:rPr>
      </w:pPr>
      <w:r>
        <w:rPr>
          <w:noProof/>
          <w:color w:val="auto"/>
        </w:rPr>
        <w:drawing>
          <wp:inline distT="0" distB="0" distL="0" distR="0">
            <wp:extent cx="4876165" cy="50165"/>
            <wp:effectExtent l="0" t="0" r="0" b="0"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6746" cy="5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1024" w:rsidRDefault="00801024">
      <w:pPr>
        <w:spacing w:line="334" w:lineRule="auto"/>
        <w:rPr>
          <w:color w:val="auto"/>
        </w:rPr>
      </w:pPr>
    </w:p>
    <w:p w:rsidR="00801024" w:rsidRDefault="00801024">
      <w:pPr>
        <w:spacing w:line="335" w:lineRule="auto"/>
        <w:rPr>
          <w:color w:val="auto"/>
        </w:rPr>
      </w:pPr>
    </w:p>
    <w:p w:rsidR="00801024" w:rsidRDefault="008B6459">
      <w:pPr>
        <w:widowControl w:val="0"/>
        <w:spacing w:after="160" w:line="276" w:lineRule="auto"/>
        <w:jc w:val="center"/>
        <w:rPr>
          <w:rFonts w:ascii="宋体" w:eastAsia="宋体" w:hAnsi="宋体" w:cs="宋体"/>
          <w:b/>
          <w:sz w:val="44"/>
          <w:szCs w:val="44"/>
        </w:rPr>
      </w:pPr>
      <w:r>
        <w:rPr>
          <w:rFonts w:ascii="宋体" w:eastAsia="宋体" w:hAnsi="宋体" w:cs="宋体" w:hint="eastAsia"/>
          <w:b/>
          <w:kern w:val="2"/>
          <w:sz w:val="44"/>
          <w:szCs w:val="44"/>
          <w:lang/>
        </w:rPr>
        <w:t>汇聚银发力量</w:t>
      </w:r>
      <w:r>
        <w:rPr>
          <w:rFonts w:ascii="宋体" w:eastAsia="宋体" w:hAnsi="宋体" w:cs="宋体" w:hint="eastAsia"/>
          <w:b/>
          <w:kern w:val="2"/>
          <w:sz w:val="44"/>
          <w:szCs w:val="44"/>
          <w:lang/>
        </w:rPr>
        <w:t xml:space="preserve"> </w:t>
      </w:r>
      <w:r>
        <w:rPr>
          <w:rFonts w:ascii="宋体" w:eastAsia="宋体" w:hAnsi="宋体" w:cs="宋体" w:hint="eastAsia"/>
          <w:b/>
          <w:kern w:val="2"/>
          <w:sz w:val="44"/>
          <w:szCs w:val="44"/>
          <w:lang/>
        </w:rPr>
        <w:t>赋能产业振兴</w:t>
      </w:r>
    </w:p>
    <w:p w:rsidR="00801024" w:rsidRDefault="008B6459">
      <w:pPr>
        <w:widowControl w:val="0"/>
        <w:spacing w:after="160" w:line="276" w:lineRule="auto"/>
        <w:rPr>
          <w:rFonts w:ascii="宋体" w:eastAsia="宋体" w:hAnsi="宋体" w:cs="宋体"/>
          <w:bCs/>
          <w:sz w:val="32"/>
          <w:szCs w:val="32"/>
        </w:rPr>
      </w:pPr>
      <w:r>
        <w:rPr>
          <w:rFonts w:ascii="宋体" w:eastAsia="宋体" w:hAnsi="宋体" w:cs="宋体" w:hint="eastAsia"/>
          <w:bCs/>
          <w:kern w:val="2"/>
          <w:sz w:val="32"/>
          <w:szCs w:val="32"/>
          <w:lang/>
        </w:rPr>
        <w:t>——贺州市老科协教育分会赴八步区步头镇开展专题调研</w:t>
      </w:r>
    </w:p>
    <w:p w:rsidR="00801024" w:rsidRDefault="008B6459">
      <w:pPr>
        <w:widowControl w:val="0"/>
        <w:spacing w:after="160" w:line="58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noProof/>
          <w:kern w:val="2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2322195</wp:posOffset>
            </wp:positionV>
            <wp:extent cx="5294630" cy="2472055"/>
            <wp:effectExtent l="0" t="0" r="0" b="0"/>
            <wp:wrapTopAndBottom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rcRect t="25956" r="24" b="3133"/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24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t>为深入贯彻落实市老科协年度工作部署，充分发挥老科技工作者智力优势，精准助力地方特色产业提质升级，</w:t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t>6</w:t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t>月</w:t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t>25</w:t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t>日，市老科协教育分会会长林明率队，</w:t>
      </w:r>
      <w:r>
        <w:rPr>
          <w:rFonts w:ascii="仿宋" w:eastAsia="仿宋" w:hAnsi="仿宋" w:cs="仿宋" w:hint="eastAsia"/>
          <w:spacing w:val="-11"/>
          <w:kern w:val="2"/>
          <w:sz w:val="32"/>
          <w:szCs w:val="32"/>
          <w:lang/>
        </w:rPr>
        <w:t>组织来自贺州学院、市教育局、市职教中心及市直初高中的会员共</w:t>
      </w:r>
      <w:r>
        <w:rPr>
          <w:rFonts w:ascii="仿宋" w:eastAsia="仿宋" w:hAnsi="仿宋" w:cs="仿宋" w:hint="eastAsia"/>
          <w:spacing w:val="-11"/>
          <w:kern w:val="2"/>
          <w:sz w:val="32"/>
          <w:szCs w:val="32"/>
          <w:lang/>
        </w:rPr>
        <w:t>25</w:t>
      </w:r>
      <w:r>
        <w:rPr>
          <w:rFonts w:ascii="仿宋" w:eastAsia="仿宋" w:hAnsi="仿宋" w:cs="仿宋" w:hint="eastAsia"/>
          <w:spacing w:val="-11"/>
          <w:kern w:val="2"/>
          <w:sz w:val="32"/>
          <w:szCs w:val="32"/>
          <w:lang/>
        </w:rPr>
        <w:t>人，赴八步区步头镇开展特色产业专题调研。这次活动得到了八步区老科协大力支持和帮助，八步区老科协会长陈永明及相关分会负责人陪同调</w:t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t>研。</w:t>
      </w:r>
    </w:p>
    <w:p w:rsidR="00801024" w:rsidRDefault="008B6459">
      <w:pPr>
        <w:widowControl w:val="0"/>
        <w:spacing w:after="160" w:line="58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  <w:lang/>
        </w:rPr>
        <w:lastRenderedPageBreak/>
        <w:t>调研组一行顶烈日、冒酷暑，先后深入步头镇古法酱油生产基地、森林仙草植物园及三华李种植基地，通过实地察看、听取介绍、现场交流等方式，详细了解各产业在基础设施建设、非遗技艺传承、产品产销衔接及品牌打造等方面的情况。</w:t>
      </w:r>
    </w:p>
    <w:p w:rsidR="00801024" w:rsidRDefault="008B6459">
      <w:pPr>
        <w:widowControl w:val="0"/>
        <w:spacing w:after="160" w:line="58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  <w:lang/>
        </w:rPr>
        <w:t>在贺州市四季飘香调味品有限公司古法酱油基地，调研组重点考察了非遗技艺的传承与创新。该企业由传承人廖羽于</w:t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t>20</w:t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t>18</w:t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t>年创办，占地</w:t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t>3</w:t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t>万平方米，依托</w:t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t>2</w:t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t>万平方米天然晒场及全自动灌装线，实现了古法工艺与现代生产的有机融合，年产酱油五十万斤。其主打的“臻味湟”系列产品坚持零添加、长周期自然发酵，工艺入选市级非物质文化遗产。调研组对企业坚持品质为先、推动非遗产业化的成效表示肯定。</w:t>
      </w:r>
    </w:p>
    <w:p w:rsidR="00801024" w:rsidRDefault="008B6459">
      <w:pPr>
        <w:widowControl w:val="0"/>
        <w:spacing w:line="580" w:lineRule="exact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noProof/>
          <w:kern w:val="2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83820</wp:posOffset>
            </wp:positionH>
            <wp:positionV relativeFrom="paragraph">
              <wp:posOffset>133350</wp:posOffset>
            </wp:positionV>
            <wp:extent cx="5226685" cy="2964815"/>
            <wp:effectExtent l="0" t="0" r="0" b="0"/>
            <wp:wrapTopAndBottom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rcRect t="14721" r="772"/>
                    <a:stretch>
                      <a:fillRect/>
                    </a:stretch>
                  </pic:blipFill>
                  <pic:spPr>
                    <a:xfrm>
                      <a:off x="0" y="0"/>
                      <a:ext cx="5226685" cy="296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1024" w:rsidRDefault="008B6459">
      <w:pPr>
        <w:widowControl w:val="0"/>
        <w:spacing w:line="58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  <w:lang/>
        </w:rPr>
        <w:t>在森林仙草植物园，调研组实地察看了“三金一斛一灵”</w:t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lastRenderedPageBreak/>
        <w:t>（金花茶、金线莲、金银花、铁皮石斛、灵芝）及油茶等林下特色产业发展情况。该园占地</w:t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t>2100</w:t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t>亩，集林业生产、科研示范、科普教育、森林康养于一体，先后获评广西特色农业核心示范区、全国森林康养试点建设单位等</w:t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t>称号，是当地生态文旅融合发展的标杆。</w:t>
      </w:r>
    </w:p>
    <w:p w:rsidR="00801024" w:rsidRDefault="008B6459">
      <w:pPr>
        <w:widowControl w:val="0"/>
        <w:spacing w:after="160" w:line="580" w:lineRule="exact"/>
        <w:ind w:firstLineChars="200" w:firstLine="640"/>
        <w:rPr>
          <w:rFonts w:ascii="仿宋" w:eastAsia="仿宋" w:hAnsi="仿宋" w:cs="仿宋"/>
          <w:kern w:val="2"/>
          <w:sz w:val="32"/>
          <w:szCs w:val="32"/>
          <w:lang/>
        </w:rPr>
      </w:pPr>
      <w:r>
        <w:rPr>
          <w:rFonts w:ascii="仿宋" w:eastAsia="仿宋" w:hAnsi="仿宋" w:cs="仿宋" w:hint="eastAsia"/>
          <w:noProof/>
          <w:kern w:val="2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93345</wp:posOffset>
            </wp:positionH>
            <wp:positionV relativeFrom="paragraph">
              <wp:posOffset>302895</wp:posOffset>
            </wp:positionV>
            <wp:extent cx="5286375" cy="2942590"/>
            <wp:effectExtent l="0" t="0" r="0" b="0"/>
            <wp:wrapTopAndBottom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rcRect t="15128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294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1024" w:rsidRDefault="008B6459">
      <w:pPr>
        <w:widowControl w:val="0"/>
        <w:spacing w:line="58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  <w:lang/>
        </w:rPr>
        <w:t>正值三华李丰收季，调研组走进中国李子之乡采摘基地，只见漫山遍野硕果累累，一片令人愉悦的景象。八步区老科协陈会长介绍，目前八步区三华李种植面积是</w:t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t>9</w:t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t>万多亩，年产量是</w:t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t>10</w:t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t>万吨，产值是</w:t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t>5</w:t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t>多亿元，主要集中在贺街和步头两个镇，其中步头镇三华李种植面积是</w:t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t>1.5</w:t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t>万亩，年产量是</w:t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t>1.8</w:t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t>万吨，年产值是</w:t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t>0.29</w:t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t>亿元，三华李种植是八步区</w:t>
      </w:r>
      <w:bookmarkStart w:id="0" w:name="_GoBack"/>
      <w:bookmarkEnd w:id="0"/>
      <w:r>
        <w:rPr>
          <w:rFonts w:ascii="仿宋" w:eastAsia="仿宋" w:hAnsi="仿宋" w:cs="仿宋" w:hint="eastAsia"/>
          <w:kern w:val="2"/>
          <w:sz w:val="32"/>
          <w:szCs w:val="32"/>
          <w:lang/>
        </w:rPr>
        <w:t>助农增收的支柱产业。调研组对果实品质及产业发展成效给予高度评价。</w:t>
      </w:r>
    </w:p>
    <w:p w:rsidR="00801024" w:rsidRDefault="008B6459">
      <w:pPr>
        <w:widowControl w:val="0"/>
        <w:spacing w:line="58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  <w:lang/>
        </w:rPr>
        <w:lastRenderedPageBreak/>
        <w:t>实地调研后，调研组召开专题座谈会。与会专家结合自身专业背景，积极建言献策：</w:t>
      </w:r>
      <w:r>
        <w:rPr>
          <w:rFonts w:ascii="仿宋" w:eastAsia="仿宋" w:hAnsi="仿宋" w:cs="仿宋" w:hint="eastAsia"/>
          <w:b/>
          <w:bCs/>
          <w:kern w:val="2"/>
          <w:sz w:val="32"/>
          <w:szCs w:val="32"/>
          <w:lang/>
        </w:rPr>
        <w:t>一是做强非遗品牌。</w:t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t>建议古法酱油产业加大宣传推介力度，深化与贺州学院等院校的产学研合作，以科技创新赋能工艺升级与产品迭代。</w:t>
      </w:r>
      <w:r>
        <w:rPr>
          <w:rFonts w:ascii="仿宋" w:eastAsia="仿宋" w:hAnsi="仿宋" w:cs="仿宋" w:hint="eastAsia"/>
          <w:b/>
          <w:bCs/>
          <w:kern w:val="2"/>
          <w:sz w:val="32"/>
          <w:szCs w:val="32"/>
          <w:lang/>
        </w:rPr>
        <w:t>二是做活林下经济。</w:t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t>建议森林仙草植物园抢抓乡村振兴政策机遇，积极申报项目资金，深化与学校、企事业单位合作，拓展研学旅行、科普教育、康养体验等新业态。</w:t>
      </w:r>
      <w:r>
        <w:rPr>
          <w:rFonts w:ascii="仿宋" w:eastAsia="仿宋" w:hAnsi="仿宋" w:cs="仿宋" w:hint="eastAsia"/>
          <w:b/>
          <w:bCs/>
          <w:kern w:val="2"/>
          <w:sz w:val="32"/>
          <w:szCs w:val="32"/>
          <w:lang/>
        </w:rPr>
        <w:t>三是延伸水果产业链。</w:t>
      </w:r>
      <w:r>
        <w:rPr>
          <w:rFonts w:ascii="仿宋" w:eastAsia="仿宋" w:hAnsi="仿宋" w:cs="仿宋" w:hint="eastAsia"/>
          <w:kern w:val="2"/>
          <w:sz w:val="32"/>
          <w:szCs w:val="32"/>
          <w:lang/>
        </w:rPr>
        <w:t>建议三华李产业紧扣贺州“长寿市”名片，强化品牌营销，聚焦“一李多吃”深加工及保鲜储藏技术攻关，有效提升产品附加值。</w:t>
      </w:r>
    </w:p>
    <w:p w:rsidR="00801024" w:rsidRDefault="008B6459" w:rsidP="00AC2465">
      <w:pPr>
        <w:widowControl w:val="0"/>
        <w:spacing w:after="160" w:line="580" w:lineRule="exact"/>
        <w:ind w:firstLineChars="200" w:firstLine="618"/>
        <w:rPr>
          <w:rFonts w:ascii="仿宋" w:eastAsia="仿宋" w:hAnsi="仿宋" w:cs="仿宋"/>
          <w:spacing w:val="-11"/>
          <w:sz w:val="32"/>
          <w:szCs w:val="32"/>
        </w:rPr>
      </w:pPr>
      <w:r>
        <w:rPr>
          <w:rFonts w:ascii="仿宋" w:eastAsia="仿宋" w:hAnsi="仿宋" w:cs="仿宋" w:hint="eastAsia"/>
          <w:spacing w:val="-11"/>
          <w:kern w:val="2"/>
          <w:sz w:val="32"/>
          <w:szCs w:val="32"/>
          <w:lang/>
        </w:rPr>
        <w:t>此次调研行程紧凑、内容丰富。老专家们纷纷表示，将一如既往地发挥专业特长和经验优势，当好党委政府的“银发智库”，为贺州特色产业高质</w:t>
      </w:r>
      <w:r>
        <w:rPr>
          <w:rFonts w:ascii="仿宋" w:eastAsia="仿宋" w:hAnsi="仿宋" w:cs="仿宋" w:hint="eastAsia"/>
          <w:spacing w:val="-11"/>
          <w:kern w:val="2"/>
          <w:sz w:val="32"/>
          <w:szCs w:val="32"/>
          <w:lang/>
        </w:rPr>
        <w:t>量发展和乡村全面振兴贡献智慧和力量。</w:t>
      </w:r>
    </w:p>
    <w:p w:rsidR="00801024" w:rsidRDefault="00801024">
      <w:pPr>
        <w:spacing w:line="580" w:lineRule="exact"/>
        <w:rPr>
          <w:rFonts w:ascii="仿宋" w:eastAsia="仿宋" w:hAnsi="仿宋" w:cs="仿宋"/>
          <w:sz w:val="32"/>
          <w:szCs w:val="32"/>
        </w:rPr>
      </w:pPr>
    </w:p>
    <w:p w:rsidR="00801024" w:rsidRDefault="008B6459">
      <w:pPr>
        <w:spacing w:line="580" w:lineRule="exact"/>
        <w:ind w:leftChars="3040" w:left="6384"/>
        <w:jc w:val="both"/>
        <w:rPr>
          <w:rStyle w:val="NormalCharacter"/>
          <w:rFonts w:ascii="仿宋" w:eastAsia="仿宋" w:hAnsi="仿宋" w:cs="仿宋"/>
          <w:color w:val="auto"/>
          <w:kern w:val="2"/>
          <w:sz w:val="32"/>
          <w:szCs w:val="32"/>
        </w:rPr>
      </w:pPr>
      <w:r>
        <w:rPr>
          <w:rFonts w:ascii="仿宋" w:eastAsia="仿宋" w:hAnsi="仿宋" w:cs="仿宋" w:hint="eastAsia"/>
          <w:color w:val="auto"/>
          <w:sz w:val="32"/>
          <w:szCs w:val="32"/>
        </w:rPr>
        <w:t>教育分会供稿</w:t>
      </w:r>
    </w:p>
    <w:sectPr w:rsidR="00801024" w:rsidSect="00801024">
      <w:footerReference w:type="default" r:id="rId12"/>
      <w:pgSz w:w="11910" w:h="16840"/>
      <w:pgMar w:top="1431" w:right="1587" w:bottom="1310" w:left="1587" w:header="0" w:footer="225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6459" w:rsidRDefault="008B6459">
      <w:r>
        <w:separator/>
      </w:r>
    </w:p>
  </w:endnote>
  <w:endnote w:type="continuationSeparator" w:id="1">
    <w:p w:rsidR="008B6459" w:rsidRDefault="008B64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024" w:rsidRDefault="00801024">
    <w:pPr>
      <w:spacing w:line="126" w:lineRule="exact"/>
      <w:ind w:firstLine="323"/>
      <w:rPr>
        <w:rFonts w:ascii="宋体" w:eastAsia="宋体" w:hAnsi="宋体" w:cs="宋体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6459" w:rsidRDefault="008B6459">
      <w:r>
        <w:separator/>
      </w:r>
    </w:p>
  </w:footnote>
  <w:footnote w:type="continuationSeparator" w:id="1">
    <w:p w:rsidR="008B6459" w:rsidRDefault="008B64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bordersDoNotSurroundHeader/>
  <w:bordersDoNotSurroundFooter/>
  <w:defaultTabStop w:val="420"/>
  <w:characterSpacingControl w:val="doNotCompress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ulTrailSpace/>
    <w:useFELayout/>
  </w:compat>
  <w:docVars>
    <w:docVar w:name="commondata" w:val="eyJoZGlkIjoiNzE5MDFmNzJiODc1NWFiYmVlNjgxOTc3NWM0OWVhOGUifQ=="/>
  </w:docVars>
  <w:rsids>
    <w:rsidRoot w:val="00801024"/>
    <w:rsid w:val="00655979"/>
    <w:rsid w:val="00801024"/>
    <w:rsid w:val="008B6459"/>
    <w:rsid w:val="00A26A77"/>
    <w:rsid w:val="00AC2465"/>
    <w:rsid w:val="029D00C7"/>
    <w:rsid w:val="03144BAD"/>
    <w:rsid w:val="047015B8"/>
    <w:rsid w:val="048C0B4F"/>
    <w:rsid w:val="08312027"/>
    <w:rsid w:val="085F3FA0"/>
    <w:rsid w:val="09234200"/>
    <w:rsid w:val="098B1808"/>
    <w:rsid w:val="09A1482C"/>
    <w:rsid w:val="0B0F7165"/>
    <w:rsid w:val="0B432406"/>
    <w:rsid w:val="0E745A6B"/>
    <w:rsid w:val="0EDC6CF6"/>
    <w:rsid w:val="0FCB4567"/>
    <w:rsid w:val="104779DC"/>
    <w:rsid w:val="11812BEB"/>
    <w:rsid w:val="12E41E03"/>
    <w:rsid w:val="151237B6"/>
    <w:rsid w:val="17AB03E0"/>
    <w:rsid w:val="18FD27C8"/>
    <w:rsid w:val="19546E48"/>
    <w:rsid w:val="1A9B149F"/>
    <w:rsid w:val="1C755239"/>
    <w:rsid w:val="1E5A5503"/>
    <w:rsid w:val="1F35231B"/>
    <w:rsid w:val="221B74C4"/>
    <w:rsid w:val="2276770F"/>
    <w:rsid w:val="237A3C6A"/>
    <w:rsid w:val="23C42813"/>
    <w:rsid w:val="23D040B1"/>
    <w:rsid w:val="24653D54"/>
    <w:rsid w:val="24DD0E5F"/>
    <w:rsid w:val="25370647"/>
    <w:rsid w:val="26B90045"/>
    <w:rsid w:val="26EA7888"/>
    <w:rsid w:val="2B5C3566"/>
    <w:rsid w:val="2D1573A4"/>
    <w:rsid w:val="2D562326"/>
    <w:rsid w:val="2E517393"/>
    <w:rsid w:val="2F8C07EF"/>
    <w:rsid w:val="2FB82CC1"/>
    <w:rsid w:val="304D1F10"/>
    <w:rsid w:val="30B15FDD"/>
    <w:rsid w:val="30C07753"/>
    <w:rsid w:val="3141656B"/>
    <w:rsid w:val="31760235"/>
    <w:rsid w:val="31C24F93"/>
    <w:rsid w:val="31D567AB"/>
    <w:rsid w:val="34280C93"/>
    <w:rsid w:val="34D70938"/>
    <w:rsid w:val="34DA2739"/>
    <w:rsid w:val="370A2A8B"/>
    <w:rsid w:val="37876F4B"/>
    <w:rsid w:val="39E80D59"/>
    <w:rsid w:val="3AD31461"/>
    <w:rsid w:val="3B673023"/>
    <w:rsid w:val="3C444478"/>
    <w:rsid w:val="3DCA5510"/>
    <w:rsid w:val="3E83056F"/>
    <w:rsid w:val="3FBF403C"/>
    <w:rsid w:val="410E05AC"/>
    <w:rsid w:val="411E4461"/>
    <w:rsid w:val="43110402"/>
    <w:rsid w:val="450844B3"/>
    <w:rsid w:val="461C1A16"/>
    <w:rsid w:val="46B07242"/>
    <w:rsid w:val="471C580D"/>
    <w:rsid w:val="472443A7"/>
    <w:rsid w:val="48616ABE"/>
    <w:rsid w:val="48943D4B"/>
    <w:rsid w:val="48B4051B"/>
    <w:rsid w:val="499F73E4"/>
    <w:rsid w:val="4A443BA1"/>
    <w:rsid w:val="4D6959D2"/>
    <w:rsid w:val="4DFA09B8"/>
    <w:rsid w:val="4E8128D5"/>
    <w:rsid w:val="4FF27292"/>
    <w:rsid w:val="508D440C"/>
    <w:rsid w:val="52D5147E"/>
    <w:rsid w:val="52E9760A"/>
    <w:rsid w:val="538564E9"/>
    <w:rsid w:val="54BF1D99"/>
    <w:rsid w:val="55191F7A"/>
    <w:rsid w:val="55E70E63"/>
    <w:rsid w:val="566F36F0"/>
    <w:rsid w:val="57A46C1A"/>
    <w:rsid w:val="585A7F74"/>
    <w:rsid w:val="58861FFF"/>
    <w:rsid w:val="589678D0"/>
    <w:rsid w:val="598626C5"/>
    <w:rsid w:val="59BF1036"/>
    <w:rsid w:val="5AD141A6"/>
    <w:rsid w:val="5ADB43A8"/>
    <w:rsid w:val="5B843FCC"/>
    <w:rsid w:val="5B8F47E5"/>
    <w:rsid w:val="5D0E04D6"/>
    <w:rsid w:val="5DB52251"/>
    <w:rsid w:val="5EEE3021"/>
    <w:rsid w:val="5F4D2BD0"/>
    <w:rsid w:val="61887119"/>
    <w:rsid w:val="61B4073E"/>
    <w:rsid w:val="62257078"/>
    <w:rsid w:val="63EE0517"/>
    <w:rsid w:val="64C31521"/>
    <w:rsid w:val="64F07C78"/>
    <w:rsid w:val="65EC391D"/>
    <w:rsid w:val="66403BC4"/>
    <w:rsid w:val="666B7D04"/>
    <w:rsid w:val="67165CB5"/>
    <w:rsid w:val="6846105C"/>
    <w:rsid w:val="68556CB8"/>
    <w:rsid w:val="6A1B06CD"/>
    <w:rsid w:val="6A4E4D20"/>
    <w:rsid w:val="6B202370"/>
    <w:rsid w:val="6B731556"/>
    <w:rsid w:val="6C126847"/>
    <w:rsid w:val="6CDF0136"/>
    <w:rsid w:val="6D2215A4"/>
    <w:rsid w:val="6D411961"/>
    <w:rsid w:val="6F307F3F"/>
    <w:rsid w:val="6FD114F3"/>
    <w:rsid w:val="71237BC3"/>
    <w:rsid w:val="718A6E0D"/>
    <w:rsid w:val="71DA48FD"/>
    <w:rsid w:val="72256278"/>
    <w:rsid w:val="72AA74EF"/>
    <w:rsid w:val="72B9578B"/>
    <w:rsid w:val="73480C7F"/>
    <w:rsid w:val="73A166C9"/>
    <w:rsid w:val="74CA4475"/>
    <w:rsid w:val="74D043A6"/>
    <w:rsid w:val="752A2237"/>
    <w:rsid w:val="786F6F95"/>
    <w:rsid w:val="7B57553C"/>
    <w:rsid w:val="7D8E2150"/>
    <w:rsid w:val="7F0C1359"/>
    <w:rsid w:val="7F4F3266"/>
    <w:rsid w:val="7F857136"/>
    <w:rsid w:val="7FC54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link w:val="NormalCharacter"/>
    <w:qFormat/>
    <w:rsid w:val="00801024"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801024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80102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80102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serStyle0">
    <w:name w:val="UserStyle_0"/>
    <w:basedOn w:val="a"/>
    <w:next w:val="a"/>
    <w:qFormat/>
    <w:rsid w:val="00801024"/>
    <w:pPr>
      <w:jc w:val="both"/>
    </w:pPr>
    <w:rPr>
      <w:rFonts w:ascii="仿宋_GB2312" w:eastAsia="宋体" w:hAnsi="Calibri" w:cs="Times New Roman"/>
      <w:kern w:val="2"/>
      <w:sz w:val="32"/>
      <w:szCs w:val="24"/>
    </w:rPr>
  </w:style>
  <w:style w:type="table" w:customStyle="1" w:styleId="TableNormal">
    <w:name w:val="Table Normal"/>
    <w:semiHidden/>
    <w:unhideWhenUsed/>
    <w:qFormat/>
    <w:rsid w:val="0080102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Character">
    <w:name w:val="NormalCharacter"/>
    <w:semiHidden/>
    <w:qFormat/>
    <w:rsid w:val="00801024"/>
    <w:rPr>
      <w:rFonts w:ascii="Arial" w:eastAsia="Arial" w:hAnsi="Arial" w:cs="Arial"/>
      <w:snapToGrid w:val="0"/>
      <w:color w:val="000000"/>
      <w:kern w:val="0"/>
      <w:sz w:val="21"/>
      <w:szCs w:val="21"/>
    </w:rPr>
  </w:style>
  <w:style w:type="paragraph" w:customStyle="1" w:styleId="1">
    <w:name w:val="页脚1"/>
    <w:basedOn w:val="a"/>
    <w:qFormat/>
    <w:rsid w:val="00801024"/>
    <w:pPr>
      <w:tabs>
        <w:tab w:val="center" w:pos="4153"/>
        <w:tab w:val="right" w:pos="8306"/>
      </w:tabs>
    </w:pPr>
    <w:rPr>
      <w:sz w:val="18"/>
    </w:rPr>
  </w:style>
  <w:style w:type="paragraph" w:styleId="a6">
    <w:name w:val="Balloon Text"/>
    <w:basedOn w:val="a"/>
    <w:link w:val="Char"/>
    <w:rsid w:val="00AC2465"/>
    <w:rPr>
      <w:sz w:val="18"/>
      <w:szCs w:val="18"/>
    </w:rPr>
  </w:style>
  <w:style w:type="character" w:customStyle="1" w:styleId="Char">
    <w:name w:val="批注框文本 Char"/>
    <w:basedOn w:val="a0"/>
    <w:link w:val="a6"/>
    <w:rsid w:val="00AC2465"/>
    <w:rPr>
      <w:rFonts w:eastAsia="Arial"/>
      <w:snapToGrid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keywords>6269e7b62c4f120015b09bfd</cp:keywords>
  <cp:lastModifiedBy>JSLM</cp:lastModifiedBy>
  <cp:revision>2</cp:revision>
  <cp:lastPrinted>2022-11-15T03:12:00Z</cp:lastPrinted>
  <dcterms:created xsi:type="dcterms:W3CDTF">2026-06-30T08:15:00Z</dcterms:created>
  <dcterms:modified xsi:type="dcterms:W3CDTF">2026-06-30T08:15:00Z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wqlLaW5nc29mdCBQREYgdG8gV1BTIDcw</vt:lpwstr>
  </property>
  <property fmtid="{D5CDD505-2E9C-101B-9397-08002B2CF9AE}" pid="3" name="Created">
    <vt:filetime>2022-04-28T09:02:58Z</vt:filetime>
  </property>
  <property fmtid="{D5CDD505-2E9C-101B-9397-08002B2CF9AE}" pid="4" name="KSOProductBuildVer">
    <vt:lpwstr>2052-12.1.0.26895</vt:lpwstr>
  </property>
  <property fmtid="{D5CDD505-2E9C-101B-9397-08002B2CF9AE}" pid="5" name="ICV">
    <vt:lpwstr>F4AC44A65670478A95EC9EFD61EAE2D8</vt:lpwstr>
  </property>
  <property fmtid="{D5CDD505-2E9C-101B-9397-08002B2CF9AE}" pid="6" name="KSOTemplateDocerSaveRecord">
    <vt:lpwstr>eyJoZGlkIjoiYzFlOWE0ZTRjOTZiNGI5NjI0MGY1MjY3YzRjYjUxNWUiLCJ1c2VySWQiOiIxMTM0MTg4MTk3In0=</vt:lpwstr>
  </property>
</Properties>
</file>