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8845" w:type="dxa"/>
        <w:jc w:val="center"/>
        <w:tblInd w:w="0" w:type="dxa"/>
        <w:tblLayout w:type="fixed"/>
        <w:tblCellMar>
          <w:top w:w="0" w:type="dxa"/>
          <w:left w:w="28" w:type="dxa"/>
          <w:bottom w:w="0" w:type="dxa"/>
          <w:right w:w="28" w:type="dxa"/>
        </w:tblCellMar>
      </w:tblPr>
      <w:tblGrid>
        <w:gridCol w:w="8845"/>
      </w:tblGrid>
      <w:tr>
        <w:tblPrEx>
          <w:tblLayout w:type="fixed"/>
          <w:tblCellMar>
            <w:top w:w="0" w:type="dxa"/>
            <w:left w:w="28" w:type="dxa"/>
            <w:bottom w:w="0" w:type="dxa"/>
            <w:right w:w="28" w:type="dxa"/>
          </w:tblCellMar>
        </w:tblPrEx>
        <w:trPr>
          <w:trHeight w:val="473" w:hRule="atLeast"/>
          <w:jc w:val="center"/>
        </w:trPr>
        <w:tc>
          <w:tcPr>
            <w:tcW w:w="8845" w:type="dxa"/>
            <w:vAlign w:val="bottom"/>
          </w:tcPr>
          <w:p>
            <w:pPr>
              <w:overflowPunct w:val="0"/>
              <w:autoSpaceDE w:val="0"/>
              <w:autoSpaceDN w:val="0"/>
              <w:adjustRightInd w:val="0"/>
              <w:spacing w:line="500" w:lineRule="exact"/>
              <w:textAlignment w:val="bottom"/>
              <w:rPr>
                <w:rFonts w:hint="eastAsia" w:eastAsia="黑体"/>
                <w:sz w:val="30"/>
                <w:szCs w:val="30"/>
              </w:rPr>
            </w:pPr>
          </w:p>
        </w:tc>
      </w:tr>
      <w:tr>
        <w:tblPrEx>
          <w:tblLayout w:type="fixed"/>
          <w:tblCellMar>
            <w:top w:w="0" w:type="dxa"/>
            <w:left w:w="28" w:type="dxa"/>
            <w:bottom w:w="0" w:type="dxa"/>
            <w:right w:w="28" w:type="dxa"/>
          </w:tblCellMar>
        </w:tblPrEx>
        <w:trPr>
          <w:trHeight w:val="473" w:hRule="atLeast"/>
          <w:jc w:val="center"/>
        </w:trPr>
        <w:tc>
          <w:tcPr>
            <w:tcW w:w="8845" w:type="dxa"/>
            <w:vAlign w:val="bottom"/>
          </w:tcPr>
          <w:p>
            <w:pPr>
              <w:overflowPunct w:val="0"/>
              <w:autoSpaceDE w:val="0"/>
              <w:autoSpaceDN w:val="0"/>
              <w:adjustRightInd w:val="0"/>
              <w:spacing w:line="500" w:lineRule="exact"/>
              <w:textAlignment w:val="bottom"/>
              <w:rPr>
                <w:rFonts w:eastAsia="黑体"/>
                <w:sz w:val="30"/>
                <w:szCs w:val="30"/>
              </w:rPr>
            </w:pPr>
          </w:p>
        </w:tc>
      </w:tr>
      <w:tr>
        <w:tblPrEx>
          <w:tblLayout w:type="fixed"/>
          <w:tblCellMar>
            <w:top w:w="0" w:type="dxa"/>
            <w:left w:w="28" w:type="dxa"/>
            <w:bottom w:w="0" w:type="dxa"/>
            <w:right w:w="28" w:type="dxa"/>
          </w:tblCellMar>
        </w:tblPrEx>
        <w:trPr>
          <w:trHeight w:val="473" w:hRule="atLeast"/>
          <w:jc w:val="center"/>
        </w:trPr>
        <w:tc>
          <w:tcPr>
            <w:tcW w:w="8845" w:type="dxa"/>
            <w:vAlign w:val="bottom"/>
          </w:tcPr>
          <w:p>
            <w:pPr>
              <w:overflowPunct w:val="0"/>
              <w:autoSpaceDE w:val="0"/>
              <w:autoSpaceDN w:val="0"/>
              <w:adjustRightInd w:val="0"/>
              <w:spacing w:line="500" w:lineRule="exact"/>
              <w:textAlignment w:val="bottom"/>
              <w:rPr>
                <w:rFonts w:eastAsia="黑体"/>
                <w:sz w:val="30"/>
                <w:szCs w:val="30"/>
              </w:rPr>
            </w:pPr>
            <w:bookmarkStart w:id="0" w:name="jinji"/>
            <w:bookmarkEnd w:id="0"/>
          </w:p>
        </w:tc>
      </w:tr>
      <w:tr>
        <w:tblPrEx>
          <w:tblLayout w:type="fixed"/>
          <w:tblCellMar>
            <w:top w:w="0" w:type="dxa"/>
            <w:left w:w="28" w:type="dxa"/>
            <w:bottom w:w="0" w:type="dxa"/>
            <w:right w:w="28" w:type="dxa"/>
          </w:tblCellMar>
        </w:tblPrEx>
        <w:trPr>
          <w:trHeight w:val="1457" w:hRule="atLeast"/>
          <w:jc w:val="center"/>
        </w:trPr>
        <w:tc>
          <w:tcPr>
            <w:tcW w:w="8845" w:type="dxa"/>
          </w:tcPr>
          <w:p>
            <w:pPr>
              <w:spacing w:before="312" w:beforeLines="100"/>
              <w:jc w:val="center"/>
              <w:rPr>
                <w:rFonts w:eastAsia="华康简标题宋"/>
                <w:b/>
                <w:color w:val="FF3333"/>
                <w:sz w:val="76"/>
                <w:szCs w:val="76"/>
              </w:rPr>
            </w:pPr>
            <w:r>
              <w:rPr>
                <w:rFonts w:hint="eastAsia" w:ascii="楷体" w:hAnsi="楷体" w:eastAsia="楷体"/>
                <w:b/>
                <w:snapToGrid w:val="0"/>
                <w:color w:val="FF0000"/>
                <w:sz w:val="72"/>
              </w:rPr>
              <w:t>中国老科学技术工作者协会</w:t>
            </w:r>
          </w:p>
        </w:tc>
      </w:tr>
      <w:tr>
        <w:tblPrEx>
          <w:tblLayout w:type="fixed"/>
          <w:tblCellMar>
            <w:top w:w="0" w:type="dxa"/>
            <w:left w:w="28" w:type="dxa"/>
            <w:bottom w:w="0" w:type="dxa"/>
            <w:right w:w="28" w:type="dxa"/>
          </w:tblCellMar>
        </w:tblPrEx>
        <w:trPr>
          <w:trHeight w:val="400" w:hRule="atLeast"/>
          <w:jc w:val="center"/>
        </w:trPr>
        <w:tc>
          <w:tcPr>
            <w:tcW w:w="8845" w:type="dxa"/>
            <w:tcBorders>
              <w:top w:val="nil"/>
              <w:left w:val="nil"/>
              <w:bottom w:val="single" w:color="FF3333" w:sz="12" w:space="0"/>
              <w:right w:val="nil"/>
            </w:tcBorders>
            <w:vAlign w:val="bottom"/>
          </w:tcPr>
          <w:p>
            <w:pPr>
              <w:tabs>
                <w:tab w:val="left" w:pos="8944"/>
              </w:tabs>
              <w:overflowPunct w:val="0"/>
              <w:autoSpaceDE w:val="0"/>
              <w:autoSpaceDN w:val="0"/>
              <w:adjustRightInd w:val="0"/>
              <w:spacing w:after="93" w:afterLines="30"/>
              <w:jc w:val="center"/>
              <w:textAlignment w:val="bottom"/>
              <w:rPr>
                <w:rFonts w:ascii="仿宋_GB2312" w:eastAsia="仿宋_GB2312"/>
                <w:sz w:val="32"/>
                <w:szCs w:val="32"/>
              </w:rPr>
            </w:pPr>
            <w:r>
              <w:rPr>
                <w:rFonts w:hint="eastAsia" w:ascii="仿宋_GB2312" w:hAnsi="宋体" w:eastAsia="仿宋_GB2312"/>
                <w:sz w:val="32"/>
                <w:szCs w:val="32"/>
              </w:rPr>
              <w:t>老科协发〔</w:t>
            </w:r>
            <w:bookmarkStart w:id="1" w:name="fawenniandu"/>
            <w:r>
              <w:rPr>
                <w:rFonts w:ascii="仿宋_GB2312" w:hAnsi="宋体" w:eastAsia="仿宋_GB2312"/>
                <w:sz w:val="32"/>
                <w:szCs w:val="32"/>
              </w:rPr>
              <w:t>20</w:t>
            </w:r>
            <w:bookmarkEnd w:id="1"/>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rPr>
              <w:t>号</w:t>
            </w:r>
          </w:p>
        </w:tc>
      </w:tr>
      <w:tr>
        <w:tblPrEx>
          <w:tblLayout w:type="fixed"/>
          <w:tblCellMar>
            <w:top w:w="0" w:type="dxa"/>
            <w:left w:w="28" w:type="dxa"/>
            <w:bottom w:w="0" w:type="dxa"/>
            <w:right w:w="28" w:type="dxa"/>
          </w:tblCellMar>
        </w:tblPrEx>
        <w:trPr>
          <w:trHeight w:val="1510" w:hRule="atLeast"/>
          <w:jc w:val="center"/>
        </w:trPr>
        <w:tc>
          <w:tcPr>
            <w:tcW w:w="8845" w:type="dxa"/>
            <w:tcBorders>
              <w:top w:val="single" w:color="FF3333" w:sz="12" w:space="0"/>
              <w:bottom w:val="nil"/>
            </w:tcBorders>
          </w:tcPr>
          <w:p>
            <w:pPr>
              <w:overflowPunct w:val="0"/>
              <w:autoSpaceDE w:val="0"/>
              <w:autoSpaceDN w:val="0"/>
              <w:adjustRightInd w:val="0"/>
              <w:spacing w:before="780" w:beforeLines="250" w:after="312" w:afterLines="100" w:line="700" w:lineRule="exact"/>
              <w:jc w:val="center"/>
              <w:textAlignment w:val="bottom"/>
              <w:rPr>
                <w:rFonts w:ascii="仿宋_GB2312" w:eastAsia="仿宋_GB2312"/>
                <w:sz w:val="44"/>
                <w:szCs w:val="44"/>
              </w:rPr>
            </w:pPr>
            <w:r>
              <w:rPr>
                <w:rFonts w:hint="eastAsia" w:ascii="小标宋" w:eastAsia="小标宋"/>
                <w:sz w:val="44"/>
                <w:szCs w:val="44"/>
              </w:rPr>
              <w:t>关于认真学习贯彻习近平总书记在统筹推进</w:t>
            </w:r>
            <w:r>
              <w:rPr>
                <w:rFonts w:ascii="小标宋" w:eastAsia="小标宋"/>
                <w:sz w:val="44"/>
                <w:szCs w:val="44"/>
              </w:rPr>
              <w:br w:type="textWrapping"/>
            </w:r>
            <w:r>
              <w:rPr>
                <w:rFonts w:hint="eastAsia" w:ascii="小标宋" w:eastAsia="小标宋"/>
                <w:sz w:val="44"/>
                <w:szCs w:val="44"/>
              </w:rPr>
              <w:t>新冠肺炎疫情防控和经济社会发展工作</w:t>
            </w:r>
            <w:r>
              <w:rPr>
                <w:rFonts w:ascii="小标宋" w:eastAsia="小标宋"/>
                <w:sz w:val="44"/>
                <w:szCs w:val="44"/>
              </w:rPr>
              <w:br w:type="textWrapping"/>
            </w:r>
            <w:r>
              <w:rPr>
                <w:rFonts w:hint="eastAsia" w:ascii="小标宋" w:eastAsia="小标宋"/>
                <w:sz w:val="44"/>
                <w:szCs w:val="44"/>
              </w:rPr>
              <w:t>部署会议上的重要讲话的通知</w:t>
            </w:r>
          </w:p>
        </w:tc>
      </w:tr>
    </w:tbl>
    <w:p>
      <w:pPr>
        <w:spacing w:line="580" w:lineRule="exact"/>
        <w:rPr>
          <w:rFonts w:ascii="仿宋_GB2312" w:hAnsi="仿宋" w:eastAsia="仿宋_GB2312" w:cs="宋体"/>
          <w:sz w:val="32"/>
          <w:szCs w:val="32"/>
          <w:lang w:val="zh-CN"/>
        </w:rPr>
      </w:pPr>
      <w:r>
        <w:rPr>
          <w:rFonts w:hint="eastAsia" w:ascii="仿宋_GB2312" w:hAnsi="仿宋" w:eastAsia="仿宋_GB2312" w:cs="宋体"/>
          <w:sz w:val="32"/>
          <w:szCs w:val="32"/>
          <w:lang w:val="zh-CN"/>
        </w:rPr>
        <w:t>各省、自治区、直辖市老科协，中国老科协各分会，各直属企事业单位老科协：</w:t>
      </w:r>
    </w:p>
    <w:p>
      <w:pPr>
        <w:spacing w:line="580" w:lineRule="exact"/>
        <w:ind w:firstLine="640" w:firstLineChars="200"/>
        <w:rPr>
          <w:rFonts w:ascii="仿宋_GB2312" w:eastAsia="仿宋_GB2312"/>
          <w:sz w:val="32"/>
          <w:szCs w:val="32"/>
        </w:rPr>
      </w:pPr>
      <w:r>
        <w:rPr>
          <w:rFonts w:ascii="仿宋_GB2312" w:eastAsia="仿宋_GB2312"/>
          <w:sz w:val="32"/>
          <w:szCs w:val="32"/>
        </w:rPr>
        <w:t>2020年</w:t>
      </w:r>
      <w:r>
        <w:rPr>
          <w:rFonts w:hint="eastAsia" w:ascii="仿宋_GB2312" w:eastAsia="仿宋_GB2312"/>
          <w:sz w:val="32"/>
          <w:szCs w:val="32"/>
        </w:rPr>
        <w:t>2月23日，习近平总书记出席统筹推进新冠肺炎疫情防控和经济社会发展工作部署会议并发表重要讲话。认真学习贯彻习近平总书记重要讲话精神，对激励广大老科技工作者坚定信心和决心，发扬爱国奉献精神，为夺取疫情防控和实现经济社会发展目标任务的双胜利作出更大贡献具有十分重大的意义。现就有关要求通知如下。</w:t>
      </w:r>
    </w:p>
    <w:p>
      <w:pPr>
        <w:spacing w:line="58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、深入学习领会习近平总书记重要讲话精神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级老科协和广大老科技工作者要认真学习贯彻习近平总书记重要讲话精神，切实把思想和行动统一到习近平总书记重要讲话精神上来，进一步增强“四个意识”、坚定“四个自信”、坚决做到“两个维护”，按照“坚定信心、同舟共济、科学防治、精准施策”的总要求，统筹做好疫情防控工作，为经济社会发展献策出力，助力实现疫情防控和经济社会发展目标任务的双胜利。</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二、认真贯彻落实党中央决策部署，在</w:t>
      </w:r>
      <w:r>
        <w:rPr>
          <w:rFonts w:ascii="黑体" w:hAnsi="黑体" w:eastAsia="黑体"/>
          <w:sz w:val="32"/>
          <w:szCs w:val="32"/>
        </w:rPr>
        <w:t>各级党委政府领导下，</w:t>
      </w:r>
      <w:r>
        <w:rPr>
          <w:rFonts w:hint="eastAsia" w:ascii="黑体" w:hAnsi="黑体" w:eastAsia="黑体"/>
          <w:sz w:val="32"/>
          <w:szCs w:val="32"/>
        </w:rPr>
        <w:t>毫不放松抓紧抓实抓细疫情防控工作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级老科协和广大老科技工作者要进一步坚定全面战胜疫情的信心决心，坚决杜绝麻痹思想、厌战情绪、侥幸心理、松劲心态，再接再厉做好疫情防控工作。各地老科协要严格执行本地分区分级精准防控措施，做到低风险区严防输入；中风险区外防输入、内防扩散；高风险区内防扩散、外防输出，带头执行，尽最大可能切断传染源。要</w:t>
      </w:r>
      <w:r>
        <w:rPr>
          <w:rFonts w:ascii="仿宋_GB2312" w:eastAsia="仿宋_GB2312"/>
          <w:sz w:val="32"/>
          <w:szCs w:val="32"/>
        </w:rPr>
        <w:t>及时了解所属会员健康状况，关心老科技工作者及其家庭的安康，将组织的</w:t>
      </w:r>
      <w:r>
        <w:rPr>
          <w:rFonts w:hint="eastAsia" w:ascii="仿宋_GB2312" w:eastAsia="仿宋_GB2312"/>
          <w:sz w:val="32"/>
          <w:szCs w:val="32"/>
        </w:rPr>
        <w:t>关心</w:t>
      </w:r>
      <w:r>
        <w:rPr>
          <w:rFonts w:ascii="仿宋_GB2312" w:eastAsia="仿宋_GB2312"/>
          <w:sz w:val="32"/>
          <w:szCs w:val="32"/>
        </w:rPr>
        <w:t>通过不同方式</w:t>
      </w:r>
      <w:r>
        <w:rPr>
          <w:rFonts w:hint="eastAsia" w:ascii="仿宋_GB2312" w:eastAsia="仿宋_GB2312"/>
          <w:sz w:val="32"/>
          <w:szCs w:val="32"/>
        </w:rPr>
        <w:t>问候</w:t>
      </w:r>
      <w:r>
        <w:rPr>
          <w:rFonts w:ascii="仿宋_GB2312" w:eastAsia="仿宋_GB2312"/>
          <w:sz w:val="32"/>
          <w:szCs w:val="32"/>
        </w:rPr>
        <w:t>到所联系的每一位老科技工作者。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三、响应中国科协倡议，进一步发挥老科技工作者作用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各级老科协要积极响应中国科协号召，主动宣传科学防疫知识，助力维护社会大局稳定，各尽所能为抗疫前线捐款捐物、支援慰问、加油鼓劲，助力疫情防控和经济社会发展两手抓、两促进。支持</w:t>
      </w:r>
      <w:r>
        <w:rPr>
          <w:rFonts w:ascii="仿宋_GB2312" w:eastAsia="仿宋_GB2312"/>
          <w:sz w:val="32"/>
          <w:szCs w:val="32"/>
        </w:rPr>
        <w:t>身体健康的</w:t>
      </w:r>
      <w:r>
        <w:rPr>
          <w:rFonts w:hint="eastAsia" w:ascii="仿宋_GB2312" w:eastAsia="仿宋_GB2312"/>
          <w:sz w:val="32"/>
          <w:szCs w:val="32"/>
        </w:rPr>
        <w:t>老科技工作者，积极</w:t>
      </w:r>
      <w:r>
        <w:rPr>
          <w:rFonts w:ascii="仿宋_GB2312" w:eastAsia="仿宋_GB2312"/>
          <w:sz w:val="32"/>
          <w:szCs w:val="32"/>
        </w:rPr>
        <w:t>参与本单位、本行业、本地域的防疫工作，</w:t>
      </w:r>
      <w:r>
        <w:rPr>
          <w:rFonts w:hint="eastAsia" w:ascii="仿宋_GB2312" w:eastAsia="仿宋_GB2312"/>
          <w:sz w:val="32"/>
          <w:szCs w:val="32"/>
        </w:rPr>
        <w:t>力所能及地有序参加志愿服务活动，发挥技术专长，继续</w:t>
      </w:r>
      <w:r>
        <w:rPr>
          <w:rFonts w:ascii="仿宋_GB2312" w:eastAsia="仿宋_GB2312"/>
          <w:sz w:val="32"/>
          <w:szCs w:val="32"/>
        </w:rPr>
        <w:t>发光发热</w:t>
      </w:r>
      <w:r>
        <w:rPr>
          <w:rFonts w:hint="eastAsia" w:ascii="仿宋_GB2312" w:eastAsia="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四、做好个人、家庭和单位防护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广大老科技工作者和老科协工作者要保护好自己和家人身体健康，坚持少出门、戴口罩、勤洗手、不聚餐、不聚集，如果出现发热、咳嗽等症状，做到早发现、早报告、早隔离、早治疗。保持家庭卫生，拒绝食用野生动物。如果家人或亲友不幸感染病毒，要立即规范就医并及时向组织报告。建立疫情防控应急措施，提倡采用网络居家办公、视频会议等灵活工作方式。遵守</w:t>
      </w:r>
      <w:r>
        <w:rPr>
          <w:rFonts w:ascii="仿宋_GB2312" w:eastAsia="仿宋_GB2312"/>
          <w:sz w:val="32"/>
          <w:szCs w:val="32"/>
        </w:rPr>
        <w:t>纪律，不信谣</w:t>
      </w:r>
      <w:r>
        <w:rPr>
          <w:rFonts w:hint="eastAsia" w:ascii="仿宋_GB2312" w:eastAsia="仿宋_GB2312"/>
          <w:sz w:val="32"/>
          <w:szCs w:val="32"/>
        </w:rPr>
        <w:t>、</w:t>
      </w:r>
      <w:r>
        <w:rPr>
          <w:rFonts w:ascii="仿宋_GB2312" w:eastAsia="仿宋_GB2312"/>
          <w:sz w:val="32"/>
          <w:szCs w:val="32"/>
        </w:rPr>
        <w:t>不传谣，不得发送和转发非主流渠道的有关疫情信息。</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五、有序推进2020年各项工作</w:t>
      </w:r>
    </w:p>
    <w:p>
      <w:pPr>
        <w:spacing w:line="580" w:lineRule="exact"/>
        <w:ind w:firstLine="640" w:firstLineChars="200"/>
        <w:rPr>
          <w:rFonts w:ascii="仿宋_GB2312" w:eastAsia="仿宋_GB2312"/>
          <w:sz w:val="32"/>
          <w:szCs w:val="32"/>
        </w:rPr>
      </w:pPr>
      <w:r>
        <w:rPr>
          <w:rFonts w:ascii="仿宋_GB2312" w:eastAsia="仿宋_GB2312"/>
          <w:sz w:val="32"/>
          <w:szCs w:val="32"/>
        </w:rPr>
        <w:t>各级老科协要坚决贯彻习总书记对老科协工作的重要指示精神</w:t>
      </w:r>
      <w:r>
        <w:rPr>
          <w:rFonts w:hint="eastAsia" w:ascii="仿宋_GB2312" w:eastAsia="仿宋_GB2312"/>
          <w:sz w:val="32"/>
          <w:szCs w:val="32"/>
        </w:rPr>
        <w:t>，扎实开展决策咨询、科学普及、科技创新、推动科技为民服务等方面重点工作。充分发挥智库优势，结合地区实际，重点就疫情引发的系列问题、经济恢复、产业发展、治理现代化、重大疫情防控体制机制、公共卫生应急管理等，特别</w:t>
      </w:r>
      <w:r>
        <w:rPr>
          <w:rFonts w:ascii="仿宋_GB2312" w:eastAsia="仿宋_GB2312"/>
          <w:sz w:val="32"/>
          <w:szCs w:val="32"/>
        </w:rPr>
        <w:t>要围绕</w:t>
      </w:r>
      <w:r>
        <w:rPr>
          <w:rFonts w:hint="eastAsia" w:ascii="仿宋_GB2312" w:eastAsia="仿宋_GB2312"/>
          <w:sz w:val="32"/>
          <w:szCs w:val="32"/>
        </w:rPr>
        <w:t>当务之急</w:t>
      </w:r>
      <w:r>
        <w:rPr>
          <w:rFonts w:ascii="仿宋_GB2312" w:eastAsia="仿宋_GB2312"/>
          <w:sz w:val="32"/>
          <w:szCs w:val="32"/>
        </w:rPr>
        <w:t>出实招、献</w:t>
      </w:r>
      <w:r>
        <w:rPr>
          <w:rFonts w:hint="eastAsia" w:ascii="仿宋_GB2312" w:eastAsia="仿宋_GB2312"/>
          <w:sz w:val="32"/>
          <w:szCs w:val="32"/>
        </w:rPr>
        <w:t>良策</w:t>
      </w:r>
      <w:r>
        <w:rPr>
          <w:rFonts w:ascii="仿宋_GB2312" w:eastAsia="仿宋_GB2312"/>
          <w:sz w:val="32"/>
          <w:szCs w:val="32"/>
        </w:rPr>
        <w:t>，</w:t>
      </w:r>
      <w:r>
        <w:rPr>
          <w:rFonts w:hint="eastAsia" w:ascii="仿宋_GB2312" w:eastAsia="仿宋_GB2312"/>
          <w:sz w:val="32"/>
          <w:szCs w:val="32"/>
        </w:rPr>
        <w:t>向党委政府提供相关咨询建议。实施《中国老科协助力企业技术创新行动计划（2018-2020年）》，帮助企业解决复工复产中遇到的困难和问题，指导企业用好用足财政税收等支持政策，为中小微企业做好“双创”办实事，助力实体经济发展。实施《中国老科协助力乡村振兴行动计划（2019-2020年）》，加强种植、养殖等专业技术指导，帮助贫困户尽快实现稳定脱贫，助力高质量打赢脱贫攻坚战。各级老科协</w:t>
      </w:r>
      <w:r>
        <w:rPr>
          <w:rFonts w:ascii="仿宋_GB2312" w:eastAsia="仿宋_GB2312"/>
          <w:sz w:val="32"/>
          <w:szCs w:val="32"/>
        </w:rPr>
        <w:t>要从实际出发，</w:t>
      </w:r>
      <w:r>
        <w:rPr>
          <w:rFonts w:hint="eastAsia" w:ascii="仿宋_GB2312" w:eastAsia="仿宋_GB2312"/>
          <w:sz w:val="32"/>
          <w:szCs w:val="32"/>
        </w:rPr>
        <w:t>按照《中国老科协2020年工作</w:t>
      </w:r>
      <w:r>
        <w:rPr>
          <w:rFonts w:ascii="仿宋_GB2312" w:eastAsia="仿宋_GB2312"/>
          <w:sz w:val="32"/>
          <w:szCs w:val="32"/>
        </w:rPr>
        <w:t>要点</w:t>
      </w:r>
      <w:r>
        <w:rPr>
          <w:rFonts w:hint="eastAsia" w:ascii="仿宋_GB2312" w:eastAsia="仿宋_GB2312"/>
          <w:sz w:val="32"/>
          <w:szCs w:val="32"/>
        </w:rPr>
        <w:t>》</w:t>
      </w:r>
      <w:r>
        <w:rPr>
          <w:rFonts w:ascii="仿宋_GB2312" w:eastAsia="仿宋_GB2312"/>
          <w:sz w:val="32"/>
          <w:szCs w:val="32"/>
        </w:rPr>
        <w:t>和各</w:t>
      </w:r>
      <w:r>
        <w:rPr>
          <w:rFonts w:hint="eastAsia" w:ascii="仿宋_GB2312" w:eastAsia="仿宋_GB2312"/>
          <w:sz w:val="32"/>
          <w:szCs w:val="32"/>
        </w:rPr>
        <w:t>单位</w:t>
      </w:r>
      <w:r>
        <w:rPr>
          <w:rFonts w:ascii="仿宋_GB2312" w:eastAsia="仿宋_GB2312"/>
          <w:sz w:val="32"/>
          <w:szCs w:val="32"/>
        </w:rPr>
        <w:t>工作安排，</w:t>
      </w:r>
      <w:r>
        <w:rPr>
          <w:rFonts w:hint="eastAsia" w:ascii="仿宋_GB2312" w:eastAsia="仿宋_GB2312"/>
          <w:sz w:val="32"/>
          <w:szCs w:val="32"/>
        </w:rPr>
        <w:t>对今年</w:t>
      </w:r>
      <w:r>
        <w:rPr>
          <w:rFonts w:ascii="仿宋_GB2312" w:eastAsia="仿宋_GB2312"/>
          <w:sz w:val="32"/>
          <w:szCs w:val="32"/>
        </w:rPr>
        <w:t>的工作计划进行必要的调整</w:t>
      </w:r>
      <w:r>
        <w:rPr>
          <w:rFonts w:hint="eastAsia" w:ascii="仿宋_GB2312" w:eastAsia="仿宋_GB2312"/>
          <w:sz w:val="32"/>
          <w:szCs w:val="32"/>
        </w:rPr>
        <w:t>和</w:t>
      </w:r>
      <w:r>
        <w:rPr>
          <w:rFonts w:ascii="仿宋_GB2312" w:eastAsia="仿宋_GB2312"/>
          <w:sz w:val="32"/>
          <w:szCs w:val="32"/>
        </w:rPr>
        <w:t>完善，</w:t>
      </w:r>
      <w:r>
        <w:rPr>
          <w:rFonts w:hint="eastAsia" w:ascii="仿宋_GB2312" w:eastAsia="仿宋_GB2312"/>
          <w:sz w:val="32"/>
          <w:szCs w:val="32"/>
        </w:rPr>
        <w:t>统筹</w:t>
      </w:r>
      <w:r>
        <w:rPr>
          <w:rFonts w:ascii="仿宋_GB2312" w:eastAsia="仿宋_GB2312"/>
          <w:sz w:val="32"/>
          <w:szCs w:val="32"/>
        </w:rPr>
        <w:t>、有序推进老科协各项工作的开展</w:t>
      </w:r>
      <w:r>
        <w:rPr>
          <w:rFonts w:hint="eastAsia" w:ascii="仿宋_GB2312" w:eastAsia="仿宋_GB2312"/>
          <w:sz w:val="32"/>
          <w:szCs w:val="32"/>
        </w:rPr>
        <w:t>，努力</w:t>
      </w:r>
      <w:r>
        <w:rPr>
          <w:rFonts w:ascii="仿宋_GB2312" w:eastAsia="仿宋_GB2312"/>
          <w:sz w:val="32"/>
          <w:szCs w:val="32"/>
        </w:rPr>
        <w:t>圆满完成任务。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各级老科协要切实做好宣传和舆论引导，及时挖掘和宣传老科技工作者在疫情防控斗争中涌现出的先进典型和感人事迹，用一个个鲜活的事例讲好老科协故事，鼓舞士气，提振精神，传播正能量，营造良好氛围。有关经验</w:t>
      </w:r>
      <w:r>
        <w:rPr>
          <w:rFonts w:ascii="仿宋_GB2312" w:eastAsia="仿宋_GB2312"/>
          <w:sz w:val="32"/>
          <w:szCs w:val="32"/>
        </w:rPr>
        <w:t>、做法等</w:t>
      </w:r>
      <w:r>
        <w:rPr>
          <w:rFonts w:hint="eastAsia" w:ascii="仿宋_GB2312" w:eastAsia="仿宋_GB2312"/>
          <w:sz w:val="32"/>
          <w:szCs w:val="32"/>
        </w:rPr>
        <w:t>信息请及时报送中国老科协</w:t>
      </w:r>
      <w:r>
        <w:rPr>
          <w:rFonts w:hint="eastAsia" w:ascii="仿宋_GB2312" w:eastAsia="仿宋_GB2312"/>
          <w:sz w:val="32"/>
          <w:szCs w:val="32"/>
          <w:lang w:eastAsia="zh-CN"/>
        </w:rPr>
        <w:t>（</w:t>
      </w:r>
      <w:r>
        <w:rPr>
          <w:rFonts w:ascii="仿宋_GB2312" w:eastAsia="仿宋_GB2312"/>
          <w:sz w:val="32"/>
          <w:szCs w:val="32"/>
        </w:rPr>
        <w:t>联系人</w:t>
      </w:r>
      <w:r>
        <w:rPr>
          <w:rFonts w:hint="eastAsia" w:ascii="仿宋_GB2312" w:eastAsia="仿宋_GB2312"/>
          <w:sz w:val="32"/>
          <w:szCs w:val="32"/>
        </w:rPr>
        <w:t>：</w:t>
      </w:r>
      <w:r>
        <w:rPr>
          <w:rFonts w:ascii="仿宋_GB2312" w:eastAsia="仿宋_GB2312"/>
          <w:sz w:val="32"/>
          <w:szCs w:val="32"/>
        </w:rPr>
        <w:t>沈晓春</w:t>
      </w:r>
      <w:r>
        <w:rPr>
          <w:rFonts w:hint="eastAsia" w:ascii="仿宋_GB2312" w:eastAsia="仿宋_GB2312"/>
          <w:sz w:val="32"/>
          <w:szCs w:val="32"/>
          <w:lang w:eastAsia="zh-CN"/>
        </w:rPr>
        <w:t>，</w:t>
      </w:r>
      <w:r>
        <w:rPr>
          <w:rFonts w:ascii="仿宋_GB2312" w:eastAsia="仿宋_GB2312"/>
          <w:sz w:val="32"/>
          <w:szCs w:val="32"/>
        </w:rPr>
        <w:t>投稿邮箱</w:t>
      </w:r>
      <w:r>
        <w:rPr>
          <w:rFonts w:hint="eastAsia" w:ascii="仿宋_GB2312" w:eastAsia="仿宋_GB2312"/>
          <w:sz w:val="32"/>
          <w:szCs w:val="32"/>
        </w:rPr>
        <w:t>：</w:t>
      </w:r>
      <w:r>
        <w:rPr>
          <w:rFonts w:ascii="Times New Roman" w:hAnsi="Times New Roman" w:eastAsia="仿宋_GB2312" w:cs="Times New Roman"/>
          <w:sz w:val="32"/>
          <w:szCs w:val="32"/>
        </w:rPr>
        <w:t>450510764@qq.com</w:t>
      </w:r>
      <w:r>
        <w:rPr>
          <w:rFonts w:hint="eastAsia" w:ascii="仿宋_GB2312" w:eastAsia="仿宋_GB2312"/>
          <w:sz w:val="32"/>
          <w:szCs w:val="32"/>
          <w:lang w:eastAsia="zh-CN"/>
        </w:rPr>
        <w:t>）</w:t>
      </w:r>
      <w:r>
        <w:rPr>
          <w:rFonts w:hint="eastAsia" w:ascii="Times New Roman" w:hAnsi="Times New Roman" w:eastAsia="仿宋_GB2312" w:cs="Times New Roman"/>
          <w:sz w:val="32"/>
          <w:szCs w:val="32"/>
          <w:lang w:eastAsia="zh-CN"/>
        </w:rPr>
        <w:t>。</w:t>
      </w:r>
    </w:p>
    <w:p>
      <w:pPr>
        <w:spacing w:line="580" w:lineRule="exact"/>
        <w:ind w:firstLine="640" w:firstLineChars="200"/>
        <w:rPr>
          <w:rFonts w:ascii="仿宋_GB2312" w:eastAsia="仿宋_GB2312"/>
          <w:sz w:val="32"/>
          <w:szCs w:val="32"/>
        </w:rPr>
      </w:pPr>
      <w:bookmarkStart w:id="2" w:name="_GoBack"/>
      <w:bookmarkEnd w:id="2"/>
    </w:p>
    <w:p>
      <w:pPr>
        <w:spacing w:line="580" w:lineRule="exact"/>
        <w:ind w:firstLine="640" w:firstLineChars="200"/>
        <w:rPr>
          <w:rFonts w:ascii="仿宋_GB2312" w:eastAsia="仿宋_GB2312"/>
          <w:sz w:val="32"/>
          <w:szCs w:val="32"/>
        </w:rPr>
      </w:pPr>
    </w:p>
    <w:p>
      <w:pPr>
        <w:spacing w:line="580" w:lineRule="exact"/>
        <w:ind w:firstLine="4160" w:firstLineChars="1300"/>
        <w:rPr>
          <w:rFonts w:ascii="仿宋_GB2312" w:hAnsi="仿宋" w:eastAsia="仿宋_GB2312" w:cs="宋体"/>
          <w:sz w:val="32"/>
          <w:szCs w:val="32"/>
        </w:rPr>
      </w:pPr>
      <w:r>
        <w:rPr>
          <w:rFonts w:hint="eastAsia" w:ascii="仿宋_GB2312" w:hAnsi="仿宋" w:eastAsia="仿宋_GB2312" w:cs="宋体"/>
          <w:sz w:val="32"/>
          <w:szCs w:val="32"/>
          <w:lang w:val="zh-CN"/>
        </w:rPr>
        <w:t>中国老科学技术工作者协会</w:t>
      </w:r>
    </w:p>
    <w:p>
      <w:pPr>
        <w:spacing w:line="580" w:lineRule="exact"/>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 xml:space="preserve">                               </w:t>
      </w:r>
      <w:r>
        <w:rPr>
          <w:rFonts w:ascii="仿宋_GB2312" w:hAnsi="仿宋" w:eastAsia="仿宋_GB2312" w:cs="宋体"/>
          <w:sz w:val="32"/>
          <w:szCs w:val="32"/>
          <w:lang w:val="zh-CN"/>
        </w:rPr>
        <w:t>20</w:t>
      </w:r>
      <w:r>
        <w:rPr>
          <w:rFonts w:hint="eastAsia" w:ascii="仿宋_GB2312" w:hAnsi="仿宋" w:eastAsia="仿宋_GB2312" w:cs="宋体"/>
          <w:sz w:val="32"/>
          <w:szCs w:val="32"/>
          <w:lang w:val="zh-CN"/>
        </w:rPr>
        <w:t>20年</w:t>
      </w:r>
      <w:r>
        <w:rPr>
          <w:rFonts w:ascii="仿宋_GB2312" w:hAnsi="仿宋" w:eastAsia="仿宋_GB2312" w:cs="宋体"/>
          <w:sz w:val="32"/>
          <w:szCs w:val="32"/>
          <w:lang w:val="zh-CN"/>
        </w:rPr>
        <w:t>2</w:t>
      </w:r>
      <w:r>
        <w:rPr>
          <w:rFonts w:hint="eastAsia" w:ascii="仿宋_GB2312" w:hAnsi="仿宋" w:eastAsia="仿宋_GB2312" w:cs="宋体"/>
          <w:sz w:val="32"/>
          <w:szCs w:val="32"/>
          <w:lang w:val="zh-CN"/>
        </w:rPr>
        <w:t>月</w:t>
      </w:r>
      <w:r>
        <w:rPr>
          <w:rFonts w:hint="eastAsia" w:ascii="仿宋_GB2312" w:hAnsi="仿宋" w:eastAsia="仿宋_GB2312" w:cs="宋体"/>
          <w:sz w:val="32"/>
          <w:szCs w:val="32"/>
        </w:rPr>
        <w:t>27</w:t>
      </w:r>
      <w:r>
        <w:rPr>
          <w:rFonts w:hint="eastAsia" w:ascii="仿宋_GB2312" w:hAnsi="仿宋" w:eastAsia="仿宋_GB2312" w:cs="宋体"/>
          <w:sz w:val="32"/>
          <w:szCs w:val="32"/>
          <w:lang w:val="zh-CN"/>
        </w:rPr>
        <w:t>日</w:t>
      </w:r>
    </w:p>
    <w:sectPr>
      <w:headerReference r:id="rId3" w:type="default"/>
      <w:footerReference r:id="rId4" w:type="default"/>
      <w:footerReference r:id="rId5" w:type="even"/>
      <w:pgSz w:w="11906" w:h="16838"/>
      <w:pgMar w:top="2098" w:right="1474" w:bottom="992" w:left="1588" w:header="0" w:footer="164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t xml:space="preserve">— </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2</w:t>
    </w:r>
    <w:r>
      <w:rPr>
        <w:rFonts w:ascii="Times New Roman" w:hAnsi="Times New Roman"/>
        <w:sz w:val="28"/>
        <w:szCs w:val="28"/>
      </w:rPr>
      <w:fldChar w:fldCharType="end"/>
    </w:r>
    <w:r>
      <w:rPr>
        <w:rStyle w:val="11"/>
        <w:rFonts w:ascii="Times New Roman" w:hAnsi="Times New Roman"/>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629343"/>
    </w:sdtPr>
    <w:sdtEndPr>
      <w:rPr>
        <w:rFonts w:ascii="Times New Roman" w:hAnsi="Times New Roman" w:cs="Times New Roman"/>
        <w:sz w:val="24"/>
        <w:szCs w:val="24"/>
      </w:rPr>
    </w:sdtEndPr>
    <w:sdtContent>
      <w:p>
        <w:pPr>
          <w:pStyle w:val="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20"/>
    <w:rsid w:val="00001BA0"/>
    <w:rsid w:val="00001D99"/>
    <w:rsid w:val="00002AAD"/>
    <w:rsid w:val="00006650"/>
    <w:rsid w:val="0000723E"/>
    <w:rsid w:val="000148DD"/>
    <w:rsid w:val="00015DD5"/>
    <w:rsid w:val="00023B99"/>
    <w:rsid w:val="000266C0"/>
    <w:rsid w:val="00037595"/>
    <w:rsid w:val="00042155"/>
    <w:rsid w:val="000614D4"/>
    <w:rsid w:val="0006737D"/>
    <w:rsid w:val="0007086A"/>
    <w:rsid w:val="00074185"/>
    <w:rsid w:val="00076A2F"/>
    <w:rsid w:val="00084E8D"/>
    <w:rsid w:val="000855DB"/>
    <w:rsid w:val="000876EE"/>
    <w:rsid w:val="000A6AC1"/>
    <w:rsid w:val="000C3692"/>
    <w:rsid w:val="000D5320"/>
    <w:rsid w:val="000E1F3C"/>
    <w:rsid w:val="000E3719"/>
    <w:rsid w:val="000E462D"/>
    <w:rsid w:val="000E49F9"/>
    <w:rsid w:val="000F039A"/>
    <w:rsid w:val="000F72AB"/>
    <w:rsid w:val="001009AB"/>
    <w:rsid w:val="0010625D"/>
    <w:rsid w:val="00111554"/>
    <w:rsid w:val="001265D0"/>
    <w:rsid w:val="00126CDE"/>
    <w:rsid w:val="00133D2B"/>
    <w:rsid w:val="00136DBF"/>
    <w:rsid w:val="001500FB"/>
    <w:rsid w:val="00154549"/>
    <w:rsid w:val="001651DA"/>
    <w:rsid w:val="00176D2B"/>
    <w:rsid w:val="00180D74"/>
    <w:rsid w:val="001A08EA"/>
    <w:rsid w:val="001C4011"/>
    <w:rsid w:val="001C7D8C"/>
    <w:rsid w:val="001D068D"/>
    <w:rsid w:val="001D3846"/>
    <w:rsid w:val="001D7168"/>
    <w:rsid w:val="001E3D34"/>
    <w:rsid w:val="001E6D2F"/>
    <w:rsid w:val="001F0394"/>
    <w:rsid w:val="0020421F"/>
    <w:rsid w:val="00207385"/>
    <w:rsid w:val="00224222"/>
    <w:rsid w:val="00236EE6"/>
    <w:rsid w:val="002445FC"/>
    <w:rsid w:val="00250C61"/>
    <w:rsid w:val="002727ED"/>
    <w:rsid w:val="0027464B"/>
    <w:rsid w:val="002772EC"/>
    <w:rsid w:val="00280D07"/>
    <w:rsid w:val="00283160"/>
    <w:rsid w:val="00284C68"/>
    <w:rsid w:val="00285A23"/>
    <w:rsid w:val="00286557"/>
    <w:rsid w:val="00291E7E"/>
    <w:rsid w:val="0029246F"/>
    <w:rsid w:val="00292531"/>
    <w:rsid w:val="002926F3"/>
    <w:rsid w:val="002A235E"/>
    <w:rsid w:val="002A4C26"/>
    <w:rsid w:val="002B0AB6"/>
    <w:rsid w:val="002B2858"/>
    <w:rsid w:val="002E0116"/>
    <w:rsid w:val="0030248F"/>
    <w:rsid w:val="003029BB"/>
    <w:rsid w:val="003108D5"/>
    <w:rsid w:val="00317CF4"/>
    <w:rsid w:val="003343ED"/>
    <w:rsid w:val="00337682"/>
    <w:rsid w:val="0034164C"/>
    <w:rsid w:val="00344353"/>
    <w:rsid w:val="0034610B"/>
    <w:rsid w:val="00346150"/>
    <w:rsid w:val="00353193"/>
    <w:rsid w:val="00355DEA"/>
    <w:rsid w:val="00361E76"/>
    <w:rsid w:val="003830F0"/>
    <w:rsid w:val="00387792"/>
    <w:rsid w:val="0039310F"/>
    <w:rsid w:val="00393FDE"/>
    <w:rsid w:val="003A0E9D"/>
    <w:rsid w:val="003A1896"/>
    <w:rsid w:val="003A1E33"/>
    <w:rsid w:val="003B094C"/>
    <w:rsid w:val="003B69E5"/>
    <w:rsid w:val="003B7B17"/>
    <w:rsid w:val="003C03B4"/>
    <w:rsid w:val="003C3A20"/>
    <w:rsid w:val="003D5983"/>
    <w:rsid w:val="003D5ED6"/>
    <w:rsid w:val="003D71BF"/>
    <w:rsid w:val="003D7CF2"/>
    <w:rsid w:val="003E04B3"/>
    <w:rsid w:val="003E6AE2"/>
    <w:rsid w:val="003F71D5"/>
    <w:rsid w:val="003F72CC"/>
    <w:rsid w:val="00402FB7"/>
    <w:rsid w:val="004031E2"/>
    <w:rsid w:val="00403AC7"/>
    <w:rsid w:val="00407978"/>
    <w:rsid w:val="004116ED"/>
    <w:rsid w:val="00421EB5"/>
    <w:rsid w:val="00432AC7"/>
    <w:rsid w:val="00435C51"/>
    <w:rsid w:val="00440019"/>
    <w:rsid w:val="0044057C"/>
    <w:rsid w:val="00452986"/>
    <w:rsid w:val="004543E7"/>
    <w:rsid w:val="0046076A"/>
    <w:rsid w:val="0046156B"/>
    <w:rsid w:val="004648A5"/>
    <w:rsid w:val="00470AF0"/>
    <w:rsid w:val="00472DBC"/>
    <w:rsid w:val="004821FC"/>
    <w:rsid w:val="0048542C"/>
    <w:rsid w:val="004864AA"/>
    <w:rsid w:val="004B08EA"/>
    <w:rsid w:val="004B67AC"/>
    <w:rsid w:val="004C0718"/>
    <w:rsid w:val="004C1553"/>
    <w:rsid w:val="004C2509"/>
    <w:rsid w:val="004C319C"/>
    <w:rsid w:val="004C6B80"/>
    <w:rsid w:val="004D14F6"/>
    <w:rsid w:val="004E2510"/>
    <w:rsid w:val="004E2B80"/>
    <w:rsid w:val="004E2BB2"/>
    <w:rsid w:val="004E78E1"/>
    <w:rsid w:val="004F2231"/>
    <w:rsid w:val="004F5352"/>
    <w:rsid w:val="005052D7"/>
    <w:rsid w:val="0050534F"/>
    <w:rsid w:val="0050705C"/>
    <w:rsid w:val="00516A70"/>
    <w:rsid w:val="0052760F"/>
    <w:rsid w:val="005279DE"/>
    <w:rsid w:val="00537A22"/>
    <w:rsid w:val="00545DA0"/>
    <w:rsid w:val="0055051E"/>
    <w:rsid w:val="005654D2"/>
    <w:rsid w:val="00567F56"/>
    <w:rsid w:val="00570E10"/>
    <w:rsid w:val="0057755E"/>
    <w:rsid w:val="00583462"/>
    <w:rsid w:val="00587463"/>
    <w:rsid w:val="00587A99"/>
    <w:rsid w:val="005972BF"/>
    <w:rsid w:val="005A18FC"/>
    <w:rsid w:val="005A1DD4"/>
    <w:rsid w:val="005A5E62"/>
    <w:rsid w:val="005A7A36"/>
    <w:rsid w:val="005B0F15"/>
    <w:rsid w:val="005C473E"/>
    <w:rsid w:val="005C6C5D"/>
    <w:rsid w:val="005C73A2"/>
    <w:rsid w:val="005F7063"/>
    <w:rsid w:val="00602819"/>
    <w:rsid w:val="00616AC6"/>
    <w:rsid w:val="00621606"/>
    <w:rsid w:val="00635805"/>
    <w:rsid w:val="00636F1F"/>
    <w:rsid w:val="00637B69"/>
    <w:rsid w:val="00640102"/>
    <w:rsid w:val="00641376"/>
    <w:rsid w:val="00642BDD"/>
    <w:rsid w:val="00644B47"/>
    <w:rsid w:val="00657D2E"/>
    <w:rsid w:val="00665230"/>
    <w:rsid w:val="006718F1"/>
    <w:rsid w:val="006727BA"/>
    <w:rsid w:val="0068516D"/>
    <w:rsid w:val="00685BF5"/>
    <w:rsid w:val="006A160A"/>
    <w:rsid w:val="006C144E"/>
    <w:rsid w:val="006C19EE"/>
    <w:rsid w:val="006C2328"/>
    <w:rsid w:val="006C514D"/>
    <w:rsid w:val="006D0EA2"/>
    <w:rsid w:val="006D5C40"/>
    <w:rsid w:val="006D6123"/>
    <w:rsid w:val="006D6E7E"/>
    <w:rsid w:val="006E07CD"/>
    <w:rsid w:val="006E1AF2"/>
    <w:rsid w:val="006F0B7E"/>
    <w:rsid w:val="006F144A"/>
    <w:rsid w:val="006F5C41"/>
    <w:rsid w:val="0070241C"/>
    <w:rsid w:val="0070557B"/>
    <w:rsid w:val="00707AFF"/>
    <w:rsid w:val="00711100"/>
    <w:rsid w:val="00711405"/>
    <w:rsid w:val="00717656"/>
    <w:rsid w:val="00723CB2"/>
    <w:rsid w:val="00727F7D"/>
    <w:rsid w:val="00740026"/>
    <w:rsid w:val="0074214D"/>
    <w:rsid w:val="007458BB"/>
    <w:rsid w:val="0074623F"/>
    <w:rsid w:val="00773F4C"/>
    <w:rsid w:val="00775A7B"/>
    <w:rsid w:val="0077723F"/>
    <w:rsid w:val="0078686A"/>
    <w:rsid w:val="0078727C"/>
    <w:rsid w:val="00797D02"/>
    <w:rsid w:val="007A639A"/>
    <w:rsid w:val="007A647D"/>
    <w:rsid w:val="007B0CCB"/>
    <w:rsid w:val="007B7686"/>
    <w:rsid w:val="007C36E6"/>
    <w:rsid w:val="007C394C"/>
    <w:rsid w:val="007D63EF"/>
    <w:rsid w:val="007D6DD5"/>
    <w:rsid w:val="00804E0E"/>
    <w:rsid w:val="0080757A"/>
    <w:rsid w:val="0081556C"/>
    <w:rsid w:val="00816846"/>
    <w:rsid w:val="008266FD"/>
    <w:rsid w:val="00831270"/>
    <w:rsid w:val="00832CC5"/>
    <w:rsid w:val="008452D6"/>
    <w:rsid w:val="00845F94"/>
    <w:rsid w:val="0085425A"/>
    <w:rsid w:val="00861E9A"/>
    <w:rsid w:val="00870889"/>
    <w:rsid w:val="00881773"/>
    <w:rsid w:val="00881BD4"/>
    <w:rsid w:val="00883C4A"/>
    <w:rsid w:val="0089416D"/>
    <w:rsid w:val="008A0B17"/>
    <w:rsid w:val="008A42C2"/>
    <w:rsid w:val="008A4A69"/>
    <w:rsid w:val="008A65F8"/>
    <w:rsid w:val="008A722B"/>
    <w:rsid w:val="008B54C0"/>
    <w:rsid w:val="008D7238"/>
    <w:rsid w:val="008E134F"/>
    <w:rsid w:val="008E3CF9"/>
    <w:rsid w:val="008F3FF6"/>
    <w:rsid w:val="008F71FA"/>
    <w:rsid w:val="0090129E"/>
    <w:rsid w:val="00903360"/>
    <w:rsid w:val="00920CA4"/>
    <w:rsid w:val="009210EC"/>
    <w:rsid w:val="00923040"/>
    <w:rsid w:val="00930BA3"/>
    <w:rsid w:val="00931F5D"/>
    <w:rsid w:val="00937311"/>
    <w:rsid w:val="00946839"/>
    <w:rsid w:val="00954F0D"/>
    <w:rsid w:val="00960270"/>
    <w:rsid w:val="0096066E"/>
    <w:rsid w:val="00962A38"/>
    <w:rsid w:val="00971780"/>
    <w:rsid w:val="00990F7C"/>
    <w:rsid w:val="0099117A"/>
    <w:rsid w:val="00993472"/>
    <w:rsid w:val="009B391A"/>
    <w:rsid w:val="009B4B5D"/>
    <w:rsid w:val="009B506B"/>
    <w:rsid w:val="009C3AFF"/>
    <w:rsid w:val="009C721A"/>
    <w:rsid w:val="009C7449"/>
    <w:rsid w:val="009D0918"/>
    <w:rsid w:val="009D1E33"/>
    <w:rsid w:val="009D48E3"/>
    <w:rsid w:val="009D4C67"/>
    <w:rsid w:val="009D64B7"/>
    <w:rsid w:val="009F0ED6"/>
    <w:rsid w:val="00A028DE"/>
    <w:rsid w:val="00A11937"/>
    <w:rsid w:val="00A2113C"/>
    <w:rsid w:val="00A232A3"/>
    <w:rsid w:val="00A26E54"/>
    <w:rsid w:val="00A31065"/>
    <w:rsid w:val="00A31CC3"/>
    <w:rsid w:val="00A33E97"/>
    <w:rsid w:val="00A34754"/>
    <w:rsid w:val="00A3515D"/>
    <w:rsid w:val="00A459DC"/>
    <w:rsid w:val="00A516AE"/>
    <w:rsid w:val="00A54652"/>
    <w:rsid w:val="00A566F2"/>
    <w:rsid w:val="00A64A9C"/>
    <w:rsid w:val="00A735EF"/>
    <w:rsid w:val="00A81490"/>
    <w:rsid w:val="00A820DF"/>
    <w:rsid w:val="00A85A40"/>
    <w:rsid w:val="00A910D9"/>
    <w:rsid w:val="00A95DAA"/>
    <w:rsid w:val="00A95E89"/>
    <w:rsid w:val="00AA19A2"/>
    <w:rsid w:val="00AA2281"/>
    <w:rsid w:val="00AB7F7D"/>
    <w:rsid w:val="00AD1661"/>
    <w:rsid w:val="00AD3097"/>
    <w:rsid w:val="00AF545E"/>
    <w:rsid w:val="00B036B9"/>
    <w:rsid w:val="00B04F53"/>
    <w:rsid w:val="00B0770B"/>
    <w:rsid w:val="00B07732"/>
    <w:rsid w:val="00B12C44"/>
    <w:rsid w:val="00B15332"/>
    <w:rsid w:val="00B2218D"/>
    <w:rsid w:val="00B269BF"/>
    <w:rsid w:val="00B37046"/>
    <w:rsid w:val="00B40ADD"/>
    <w:rsid w:val="00B443F2"/>
    <w:rsid w:val="00B468E5"/>
    <w:rsid w:val="00B61974"/>
    <w:rsid w:val="00B67FD8"/>
    <w:rsid w:val="00B761E3"/>
    <w:rsid w:val="00B81DB4"/>
    <w:rsid w:val="00B96A66"/>
    <w:rsid w:val="00BA4B3A"/>
    <w:rsid w:val="00BA7119"/>
    <w:rsid w:val="00BA7B1B"/>
    <w:rsid w:val="00BB4675"/>
    <w:rsid w:val="00BB46FF"/>
    <w:rsid w:val="00BB5820"/>
    <w:rsid w:val="00BC3164"/>
    <w:rsid w:val="00BC3997"/>
    <w:rsid w:val="00BC7584"/>
    <w:rsid w:val="00BC786E"/>
    <w:rsid w:val="00BD05BA"/>
    <w:rsid w:val="00BD1259"/>
    <w:rsid w:val="00BD7B18"/>
    <w:rsid w:val="00BE0BE9"/>
    <w:rsid w:val="00BE7A70"/>
    <w:rsid w:val="00BF1EE2"/>
    <w:rsid w:val="00BF2C56"/>
    <w:rsid w:val="00BF403F"/>
    <w:rsid w:val="00C00F07"/>
    <w:rsid w:val="00C06010"/>
    <w:rsid w:val="00C10A1F"/>
    <w:rsid w:val="00C156A2"/>
    <w:rsid w:val="00C22C1B"/>
    <w:rsid w:val="00C274B4"/>
    <w:rsid w:val="00C3359B"/>
    <w:rsid w:val="00C3400A"/>
    <w:rsid w:val="00C344F1"/>
    <w:rsid w:val="00C370E8"/>
    <w:rsid w:val="00C651EC"/>
    <w:rsid w:val="00C7107F"/>
    <w:rsid w:val="00C720D0"/>
    <w:rsid w:val="00C72D46"/>
    <w:rsid w:val="00C73BA0"/>
    <w:rsid w:val="00C95487"/>
    <w:rsid w:val="00CA04AC"/>
    <w:rsid w:val="00CB2B45"/>
    <w:rsid w:val="00CC02FD"/>
    <w:rsid w:val="00CC1386"/>
    <w:rsid w:val="00CD1077"/>
    <w:rsid w:val="00CD1D15"/>
    <w:rsid w:val="00CD28AB"/>
    <w:rsid w:val="00CE2A87"/>
    <w:rsid w:val="00CE46E8"/>
    <w:rsid w:val="00CE5D1C"/>
    <w:rsid w:val="00CF5BDE"/>
    <w:rsid w:val="00D012CE"/>
    <w:rsid w:val="00D023C9"/>
    <w:rsid w:val="00D10D6A"/>
    <w:rsid w:val="00D14CA2"/>
    <w:rsid w:val="00D15CAC"/>
    <w:rsid w:val="00D32AE1"/>
    <w:rsid w:val="00D35D6B"/>
    <w:rsid w:val="00D4334F"/>
    <w:rsid w:val="00D46383"/>
    <w:rsid w:val="00D52450"/>
    <w:rsid w:val="00D54ECB"/>
    <w:rsid w:val="00D575FC"/>
    <w:rsid w:val="00D6319D"/>
    <w:rsid w:val="00D6505E"/>
    <w:rsid w:val="00D955D0"/>
    <w:rsid w:val="00D96ADE"/>
    <w:rsid w:val="00DA2714"/>
    <w:rsid w:val="00DB4E91"/>
    <w:rsid w:val="00DB635E"/>
    <w:rsid w:val="00DC28C3"/>
    <w:rsid w:val="00DD0193"/>
    <w:rsid w:val="00DD1D54"/>
    <w:rsid w:val="00DE2C15"/>
    <w:rsid w:val="00DE2D47"/>
    <w:rsid w:val="00DF1042"/>
    <w:rsid w:val="00DF5E9D"/>
    <w:rsid w:val="00E00E27"/>
    <w:rsid w:val="00E04E24"/>
    <w:rsid w:val="00E07153"/>
    <w:rsid w:val="00E21CA1"/>
    <w:rsid w:val="00E25C7B"/>
    <w:rsid w:val="00E26602"/>
    <w:rsid w:val="00E3062F"/>
    <w:rsid w:val="00E30DC1"/>
    <w:rsid w:val="00E33D0C"/>
    <w:rsid w:val="00E55D0F"/>
    <w:rsid w:val="00E565D1"/>
    <w:rsid w:val="00E6366A"/>
    <w:rsid w:val="00E63FE1"/>
    <w:rsid w:val="00E82C0B"/>
    <w:rsid w:val="00E83EB7"/>
    <w:rsid w:val="00E9433A"/>
    <w:rsid w:val="00EA5A40"/>
    <w:rsid w:val="00EC1B71"/>
    <w:rsid w:val="00ED6BAF"/>
    <w:rsid w:val="00EF0CC1"/>
    <w:rsid w:val="00EF64BF"/>
    <w:rsid w:val="00F01237"/>
    <w:rsid w:val="00F07D4E"/>
    <w:rsid w:val="00F10A0C"/>
    <w:rsid w:val="00F221E3"/>
    <w:rsid w:val="00F30EBA"/>
    <w:rsid w:val="00F3150D"/>
    <w:rsid w:val="00F32A40"/>
    <w:rsid w:val="00F34EE5"/>
    <w:rsid w:val="00F37CCB"/>
    <w:rsid w:val="00F4002C"/>
    <w:rsid w:val="00F45B83"/>
    <w:rsid w:val="00F46F29"/>
    <w:rsid w:val="00F73B2E"/>
    <w:rsid w:val="00F7702A"/>
    <w:rsid w:val="00F81038"/>
    <w:rsid w:val="00F85463"/>
    <w:rsid w:val="00F87C6D"/>
    <w:rsid w:val="00F91870"/>
    <w:rsid w:val="00F9707B"/>
    <w:rsid w:val="00FA4C7E"/>
    <w:rsid w:val="00FA6ADC"/>
    <w:rsid w:val="00FA7125"/>
    <w:rsid w:val="00FD0501"/>
    <w:rsid w:val="00FD0CA5"/>
    <w:rsid w:val="00FD17BA"/>
    <w:rsid w:val="00FD2277"/>
    <w:rsid w:val="00FE1F37"/>
    <w:rsid w:val="00FE3D60"/>
    <w:rsid w:val="00FF255C"/>
    <w:rsid w:val="00FF3942"/>
    <w:rsid w:val="00FF5E19"/>
    <w:rsid w:val="00FF67B6"/>
    <w:rsid w:val="081E2594"/>
    <w:rsid w:val="09CB54EB"/>
    <w:rsid w:val="0C556907"/>
    <w:rsid w:val="0F4C3676"/>
    <w:rsid w:val="18302665"/>
    <w:rsid w:val="201F0A20"/>
    <w:rsid w:val="222452CD"/>
    <w:rsid w:val="22D9603C"/>
    <w:rsid w:val="2BF77583"/>
    <w:rsid w:val="2C5802A8"/>
    <w:rsid w:val="2D492F9B"/>
    <w:rsid w:val="30EE4FB1"/>
    <w:rsid w:val="37233459"/>
    <w:rsid w:val="41626225"/>
    <w:rsid w:val="59503A22"/>
    <w:rsid w:val="5A260339"/>
    <w:rsid w:val="5B973464"/>
    <w:rsid w:val="72F0677A"/>
    <w:rsid w:val="76353006"/>
    <w:rsid w:val="76ED1E05"/>
    <w:rsid w:val="77F13277"/>
    <w:rsid w:val="7B147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unhideWhenUsed/>
    <w:qFormat/>
    <w:uiPriority w:val="99"/>
    <w:rPr>
      <w:b/>
      <w:bCs/>
    </w:rPr>
  </w:style>
  <w:style w:type="paragraph" w:styleId="3">
    <w:name w:val="annotation text"/>
    <w:basedOn w:val="1"/>
    <w:link w:val="23"/>
    <w:semiHidden/>
    <w:unhideWhenUsed/>
    <w:qFormat/>
    <w:uiPriority w:val="99"/>
    <w:pPr>
      <w:jc w:val="left"/>
    </w:pPr>
  </w:style>
  <w:style w:type="paragraph" w:styleId="4">
    <w:name w:val="Plain Text"/>
    <w:basedOn w:val="1"/>
    <w:link w:val="25"/>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Date"/>
    <w:basedOn w:val="1"/>
    <w:next w:val="1"/>
    <w:link w:val="26"/>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rFonts w:cs="Times New Roman"/>
      <w:kern w:val="0"/>
      <w:sz w:val="24"/>
    </w:rPr>
  </w:style>
  <w:style w:type="character" w:styleId="11">
    <w:name w:val="page number"/>
    <w:basedOn w:val="10"/>
    <w:qFormat/>
    <w:uiPriority w:val="0"/>
  </w:style>
  <w:style w:type="character" w:styleId="12">
    <w:name w:val="FollowedHyperlink"/>
    <w:basedOn w:val="10"/>
    <w:semiHidden/>
    <w:unhideWhenUsed/>
    <w:qFormat/>
    <w:uiPriority w:val="99"/>
    <w:rPr>
      <w:color w:val="000000"/>
      <w:u w:val="none"/>
    </w:rPr>
  </w:style>
  <w:style w:type="character" w:styleId="13">
    <w:name w:val="HTML Definition"/>
    <w:basedOn w:val="10"/>
    <w:semiHidden/>
    <w:unhideWhenUsed/>
    <w:qFormat/>
    <w:uiPriority w:val="99"/>
  </w:style>
  <w:style w:type="character" w:styleId="14">
    <w:name w:val="HTML Variable"/>
    <w:basedOn w:val="10"/>
    <w:semiHidden/>
    <w:unhideWhenUsed/>
    <w:qFormat/>
    <w:uiPriority w:val="99"/>
  </w:style>
  <w:style w:type="character" w:styleId="15">
    <w:name w:val="Hyperlink"/>
    <w:basedOn w:val="10"/>
    <w:unhideWhenUsed/>
    <w:qFormat/>
    <w:uiPriority w:val="99"/>
    <w:rPr>
      <w:color w:val="000000"/>
      <w:u w:val="none"/>
    </w:rPr>
  </w:style>
  <w:style w:type="character" w:styleId="16">
    <w:name w:val="HTML Code"/>
    <w:basedOn w:val="10"/>
    <w:semiHidden/>
    <w:unhideWhenUsed/>
    <w:qFormat/>
    <w:uiPriority w:val="99"/>
    <w:rPr>
      <w:rFonts w:ascii="Courier New" w:hAnsi="Courier New"/>
      <w:sz w:val="20"/>
    </w:rPr>
  </w:style>
  <w:style w:type="character" w:styleId="17">
    <w:name w:val="annotation reference"/>
    <w:basedOn w:val="10"/>
    <w:semiHidden/>
    <w:unhideWhenUsed/>
    <w:qFormat/>
    <w:uiPriority w:val="99"/>
    <w:rPr>
      <w:sz w:val="21"/>
      <w:szCs w:val="21"/>
    </w:rPr>
  </w:style>
  <w:style w:type="character" w:styleId="18">
    <w:name w:val="HTML Cite"/>
    <w:basedOn w:val="10"/>
    <w:semiHidden/>
    <w:unhideWhenUsed/>
    <w:qFormat/>
    <w:uiPriority w:val="99"/>
  </w:style>
  <w:style w:type="character" w:customStyle="1" w:styleId="20">
    <w:name w:val="页眉 Char"/>
    <w:basedOn w:val="10"/>
    <w:link w:val="8"/>
    <w:qFormat/>
    <w:uiPriority w:val="99"/>
    <w:rPr>
      <w:sz w:val="18"/>
      <w:szCs w:val="18"/>
    </w:rPr>
  </w:style>
  <w:style w:type="character" w:customStyle="1" w:styleId="21">
    <w:name w:val="页脚 Char"/>
    <w:basedOn w:val="10"/>
    <w:link w:val="7"/>
    <w:qFormat/>
    <w:uiPriority w:val="0"/>
    <w:rPr>
      <w:sz w:val="18"/>
      <w:szCs w:val="18"/>
    </w:rPr>
  </w:style>
  <w:style w:type="character" w:customStyle="1" w:styleId="22">
    <w:name w:val="批注框文本 Char"/>
    <w:basedOn w:val="10"/>
    <w:link w:val="6"/>
    <w:semiHidden/>
    <w:qFormat/>
    <w:uiPriority w:val="99"/>
    <w:rPr>
      <w:sz w:val="18"/>
      <w:szCs w:val="18"/>
    </w:rPr>
  </w:style>
  <w:style w:type="character" w:customStyle="1" w:styleId="23">
    <w:name w:val="批注文字 Char"/>
    <w:basedOn w:val="10"/>
    <w:link w:val="3"/>
    <w:semiHidden/>
    <w:qFormat/>
    <w:uiPriority w:val="99"/>
  </w:style>
  <w:style w:type="character" w:customStyle="1" w:styleId="24">
    <w:name w:val="批注主题 Char"/>
    <w:basedOn w:val="23"/>
    <w:link w:val="2"/>
    <w:semiHidden/>
    <w:qFormat/>
    <w:uiPriority w:val="99"/>
    <w:rPr>
      <w:b/>
      <w:bCs/>
    </w:rPr>
  </w:style>
  <w:style w:type="character" w:customStyle="1" w:styleId="25">
    <w:name w:val="纯文本 Char"/>
    <w:basedOn w:val="10"/>
    <w:link w:val="4"/>
    <w:qFormat/>
    <w:uiPriority w:val="0"/>
    <w:rPr>
      <w:rFonts w:ascii="宋体" w:hAnsi="宋体" w:eastAsia="宋体" w:cs="宋体"/>
      <w:kern w:val="0"/>
      <w:sz w:val="24"/>
      <w:szCs w:val="24"/>
    </w:rPr>
  </w:style>
  <w:style w:type="character" w:customStyle="1" w:styleId="26">
    <w:name w:val="日期 Char"/>
    <w:basedOn w:val="10"/>
    <w:link w:val="5"/>
    <w:semiHidden/>
    <w:qFormat/>
    <w:uiPriority w:val="99"/>
  </w:style>
  <w:style w:type="paragraph" w:customStyle="1" w:styleId="27">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8">
    <w:name w:val="hover"/>
    <w:basedOn w:val="10"/>
    <w:qFormat/>
    <w:uiPriority w:val="0"/>
    <w:rPr>
      <w:color w:val="025291"/>
    </w:rPr>
  </w:style>
  <w:style w:type="character" w:customStyle="1" w:styleId="29">
    <w:name w:val="gwds_nopic"/>
    <w:basedOn w:val="10"/>
    <w:qFormat/>
    <w:uiPriority w:val="0"/>
  </w:style>
  <w:style w:type="character" w:customStyle="1" w:styleId="30">
    <w:name w:val="gwds_nopic1"/>
    <w:basedOn w:val="10"/>
    <w:qFormat/>
    <w:uiPriority w:val="0"/>
  </w:style>
  <w:style w:type="character" w:customStyle="1" w:styleId="31">
    <w:name w:val="gwds_nopic2"/>
    <w:basedOn w:val="10"/>
    <w:qFormat/>
    <w:uiPriority w:val="0"/>
  </w:style>
  <w:style w:type="character" w:customStyle="1" w:styleId="32">
    <w:name w:val="place"/>
    <w:basedOn w:val="10"/>
    <w:qFormat/>
    <w:uiPriority w:val="0"/>
  </w:style>
  <w:style w:type="character" w:customStyle="1" w:styleId="33">
    <w:name w:val="place1"/>
    <w:basedOn w:val="10"/>
    <w:qFormat/>
    <w:uiPriority w:val="0"/>
  </w:style>
  <w:style w:type="character" w:customStyle="1" w:styleId="34">
    <w:name w:val="place2"/>
    <w:basedOn w:val="10"/>
    <w:qFormat/>
    <w:uiPriority w:val="0"/>
    <w:rPr>
      <w:rFonts w:ascii="微软雅黑" w:hAnsi="微软雅黑" w:eastAsia="微软雅黑" w:cs="微软雅黑"/>
      <w:color w:val="888888"/>
      <w:sz w:val="25"/>
      <w:szCs w:val="25"/>
    </w:rPr>
  </w:style>
  <w:style w:type="character" w:customStyle="1" w:styleId="35">
    <w:name w:val="place3"/>
    <w:basedOn w:val="10"/>
    <w:qFormat/>
    <w:uiPriority w:val="0"/>
  </w:style>
  <w:style w:type="character" w:customStyle="1" w:styleId="36">
    <w:name w:val="laypage_curr"/>
    <w:basedOn w:val="10"/>
    <w:qFormat/>
    <w:uiPriority w:val="0"/>
    <w:rPr>
      <w:color w:val="FFFDF4"/>
      <w:shd w:val="clear" w:color="auto" w:fill="0B67A6"/>
    </w:rPr>
  </w:style>
  <w:style w:type="character" w:customStyle="1" w:styleId="37">
    <w:name w:val="noline"/>
    <w:basedOn w:val="10"/>
    <w:qFormat/>
    <w:uiPriority w:val="0"/>
  </w:style>
  <w:style w:type="character" w:customStyle="1" w:styleId="38">
    <w:name w:val="font"/>
    <w:basedOn w:val="10"/>
    <w:qFormat/>
    <w:uiPriority w:val="0"/>
  </w:style>
  <w:style w:type="character" w:customStyle="1" w:styleId="39">
    <w:name w:val="font1"/>
    <w:basedOn w:val="10"/>
    <w:qFormat/>
    <w:uiPriority w:val="0"/>
  </w:style>
  <w:style w:type="character" w:customStyle="1" w:styleId="40">
    <w:name w:val="hover19"/>
    <w:basedOn w:val="10"/>
    <w:qFormat/>
    <w:uiPriority w:val="0"/>
    <w:rPr>
      <w:color w:val="02529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F0C7A-FF3B-4E87-91DB-0DF15359310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277</Words>
  <Characters>1585</Characters>
  <Lines>13</Lines>
  <Paragraphs>3</Paragraphs>
  <TotalTime>0</TotalTime>
  <ScaleCrop>false</ScaleCrop>
  <LinksUpToDate>false</LinksUpToDate>
  <CharactersWithSpaces>1859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2020-02-27T02:15:00Z</dcterms:created>
  <dc:creator>lenovo</dc:creator>
  <cp:lastModifiedBy>徐强</cp:lastModifiedBy>
  <cp:lastPrinted>2018-01-26T04:00:00Z</cp:lastPrinted>
  <dcterms:modified xsi:type="dcterms:W3CDTF">2020-02-27T04:38:58Z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